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3C124D" w14:paraId="2109902E" w14:textId="77777777" w:rsidTr="00C93DF1">
        <w:tc>
          <w:tcPr>
            <w:tcW w:w="10266" w:type="dxa"/>
            <w:gridSpan w:val="3"/>
            <w:shd w:val="clear" w:color="auto" w:fill="D9D9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bookmarkStart w:id="0" w:name="_GoBack"/>
            <w:bookmarkEnd w:id="0"/>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076E63" w14:paraId="7714BD33" w14:textId="77777777" w:rsidTr="00C93DF1">
        <w:trPr>
          <w:gridAfter w:val="1"/>
          <w:wAfter w:w="7" w:type="dxa"/>
        </w:trPr>
        <w:tc>
          <w:tcPr>
            <w:tcW w:w="5043" w:type="dxa"/>
          </w:tcPr>
          <w:p w14:paraId="06ECFD2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Институция:</w:t>
            </w:r>
          </w:p>
          <w:p w14:paraId="4CB926E6" w14:textId="5A941A82" w:rsidR="00076E63" w:rsidRPr="00076E63" w:rsidRDefault="00F216DF" w:rsidP="00076E63">
            <w:pPr>
              <w:spacing w:after="0" w:line="240" w:lineRule="auto"/>
              <w:jc w:val="both"/>
              <w:rPr>
                <w:rFonts w:ascii="Times New Roman" w:eastAsia="Times New Roman" w:hAnsi="Times New Roman" w:cs="Times New Roman"/>
                <w:sz w:val="24"/>
                <w:szCs w:val="24"/>
                <w:lang w:val="bg-BG"/>
              </w:rPr>
            </w:pPr>
            <w:r w:rsidRPr="00F216DF">
              <w:rPr>
                <w:rFonts w:ascii="Times New Roman" w:eastAsia="Times New Roman" w:hAnsi="Times New Roman" w:cs="Times New Roman"/>
                <w:sz w:val="24"/>
                <w:szCs w:val="24"/>
                <w:lang w:val="bg-BG"/>
              </w:rPr>
              <w:t>Министерство на околната среда и водитe</w:t>
            </w:r>
          </w:p>
        </w:tc>
        <w:tc>
          <w:tcPr>
            <w:tcW w:w="5216" w:type="dxa"/>
          </w:tcPr>
          <w:p w14:paraId="493AFD50" w14:textId="2988A5A1" w:rsidR="00076E63" w:rsidRPr="00076E63"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Нормативен акт:</w:t>
            </w:r>
            <w:r w:rsidR="00F216DF" w:rsidRPr="00F216DF">
              <w:rPr>
                <w:rFonts w:eastAsia="Calibri"/>
                <w:lang w:val="bg-BG"/>
              </w:rPr>
              <w:t xml:space="preserve"> </w:t>
            </w:r>
            <w:r w:rsidR="00842F23" w:rsidRPr="00842F23">
              <w:rPr>
                <w:rFonts w:ascii="Times New Roman" w:eastAsia="Times New Roman" w:hAnsi="Times New Roman" w:cs="Times New Roman"/>
                <w:sz w:val="24"/>
                <w:szCs w:val="24"/>
                <w:lang w:val="bg-BG"/>
              </w:rPr>
              <w:t>Проект на Постановление на Министерския съвет (ПМС) за изменение и допълнение на Наредбата за определяне на реда и размера за заплащане на продуктова такса</w:t>
            </w:r>
          </w:p>
        </w:tc>
      </w:tr>
      <w:tr w:rsidR="00076E63" w:rsidRPr="00076E63" w14:paraId="37CC55A8" w14:textId="77777777" w:rsidTr="00C93DF1">
        <w:trPr>
          <w:gridAfter w:val="1"/>
          <w:wAfter w:w="7" w:type="dxa"/>
        </w:trPr>
        <w:tc>
          <w:tcPr>
            <w:tcW w:w="5043" w:type="dxa"/>
          </w:tcPr>
          <w:p w14:paraId="71AB573E" w14:textId="48D9C0A5"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en-GB"/>
              </w:rPr>
              <w:object w:dxaOrig="225" w:dyaOrig="225" w14:anchorId="433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5pt;height:39.75pt" o:ole="">
                  <v:imagedata r:id="rId7" o:title=""/>
                </v:shape>
                <w:control r:id="rId8" w:name="OptionButton2" w:shapeid="_x0000_i1060"/>
              </w:object>
            </w:r>
          </w:p>
        </w:tc>
        <w:tc>
          <w:tcPr>
            <w:tcW w:w="5216" w:type="dxa"/>
          </w:tcPr>
          <w:p w14:paraId="553EE054" w14:textId="71E9A088" w:rsidR="00076E63" w:rsidRPr="00076E63" w:rsidRDefault="00076E63" w:rsidP="00076E63">
            <w:pPr>
              <w:spacing w:after="0" w:line="240" w:lineRule="auto"/>
              <w:rPr>
                <w:rFonts w:ascii="Times New Roman" w:eastAsia="Times New Roman" w:hAnsi="Times New Roman" w:cs="Times New Roman"/>
                <w:b/>
                <w:lang w:val="bg-BG"/>
              </w:rPr>
            </w:pPr>
            <w:r w:rsidRPr="00076E63">
              <w:rPr>
                <w:rFonts w:ascii="Times New Roman" w:eastAsia="Times New Roman" w:hAnsi="Times New Roman" w:cs="Times New Roman"/>
                <w:b/>
                <w:sz w:val="24"/>
                <w:szCs w:val="20"/>
                <w:lang w:val="en-GB"/>
              </w:rPr>
              <w:object w:dxaOrig="225" w:dyaOrig="225" w14:anchorId="53AA5392">
                <v:shape id="_x0000_i1062" type="#_x0000_t75" style="width:202.5pt;height:39pt" o:ole="">
                  <v:imagedata r:id="rId9" o:title=""/>
                </v:shape>
                <w:control r:id="rId10" w:name="OptionButton1" w:shapeid="_x0000_i1062"/>
              </w:object>
            </w:r>
          </w:p>
          <w:p w14:paraId="6830EBA0" w14:textId="35EF0C5F" w:rsidR="00076E63" w:rsidRPr="00076E63" w:rsidRDefault="00842F2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Pr>
                <w:rFonts w:ascii="Times New Roman" w:eastAsia="Times New Roman" w:hAnsi="Times New Roman" w:cs="Times New Roman"/>
                <w:b/>
                <w:lang w:val="bg-BG"/>
              </w:rPr>
              <w:t>2026</w:t>
            </w:r>
            <w:r w:rsidR="00F216DF">
              <w:rPr>
                <w:rFonts w:ascii="Times New Roman" w:eastAsia="Times New Roman" w:hAnsi="Times New Roman" w:cs="Times New Roman"/>
                <w:b/>
                <w:lang w:val="bg-BG"/>
              </w:rPr>
              <w:t xml:space="preserve"> г.</w:t>
            </w:r>
          </w:p>
        </w:tc>
      </w:tr>
      <w:tr w:rsidR="00076E63" w:rsidRPr="00076E63" w14:paraId="46A9895B" w14:textId="77777777" w:rsidTr="00C93DF1">
        <w:trPr>
          <w:gridAfter w:val="1"/>
          <w:wAfter w:w="7" w:type="dxa"/>
        </w:trPr>
        <w:tc>
          <w:tcPr>
            <w:tcW w:w="5043" w:type="dxa"/>
          </w:tcPr>
          <w:p w14:paraId="34FEE387"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Лице за контакт:</w:t>
            </w:r>
          </w:p>
          <w:p w14:paraId="316B6F30" w14:textId="63265247" w:rsidR="00076E63" w:rsidRPr="00076E63" w:rsidRDefault="00842F2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Светлана Божкова</w:t>
            </w:r>
          </w:p>
        </w:tc>
        <w:tc>
          <w:tcPr>
            <w:tcW w:w="5216" w:type="dxa"/>
          </w:tcPr>
          <w:p w14:paraId="0195404F" w14:textId="6E45B87C"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sidR="0060089B">
              <w:rPr>
                <w:rFonts w:ascii="Times New Roman" w:eastAsia="Times New Roman" w:hAnsi="Times New Roman" w:cs="Times New Roman"/>
                <w:b/>
                <w:sz w:val="24"/>
                <w:szCs w:val="24"/>
                <w:lang w:val="bg-BG"/>
              </w:rPr>
              <w:t xml:space="preserve"> и ел. поща</w:t>
            </w:r>
            <w:r w:rsidRPr="00076E63">
              <w:rPr>
                <w:rFonts w:ascii="Times New Roman" w:eastAsia="Times New Roman" w:hAnsi="Times New Roman" w:cs="Times New Roman"/>
                <w:b/>
                <w:sz w:val="24"/>
                <w:szCs w:val="24"/>
                <w:lang w:val="bg-BG"/>
              </w:rPr>
              <w:t>:</w:t>
            </w:r>
          </w:p>
          <w:p w14:paraId="2BDEB9AC" w14:textId="77777777" w:rsidR="00842F23" w:rsidRDefault="00842F23" w:rsidP="00076E63">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02/9406638</w:t>
            </w:r>
          </w:p>
          <w:p w14:paraId="55D0CF32" w14:textId="7FB23966" w:rsidR="00F216DF" w:rsidRPr="00F216DF" w:rsidRDefault="00A17E32" w:rsidP="00076E63">
            <w:pPr>
              <w:spacing w:after="0" w:line="240" w:lineRule="auto"/>
              <w:jc w:val="both"/>
              <w:rPr>
                <w:rFonts w:ascii="Times New Roman" w:eastAsia="Times New Roman" w:hAnsi="Times New Roman" w:cs="Times New Roman"/>
                <w:sz w:val="24"/>
                <w:szCs w:val="24"/>
                <w:lang w:val="bg-BG"/>
              </w:rPr>
            </w:pPr>
            <w:hyperlink r:id="rId11" w:history="1">
              <w:r w:rsidR="00842F23" w:rsidRPr="00A4780F">
                <w:rPr>
                  <w:rStyle w:val="Hyperlink"/>
                  <w:rFonts w:ascii="Times New Roman" w:eastAsia="Times New Roman" w:hAnsi="Times New Roman" w:cs="Times New Roman"/>
                  <w:sz w:val="24"/>
                  <w:szCs w:val="24"/>
                </w:rPr>
                <w:t>sbozhkova</w:t>
              </w:r>
              <w:r w:rsidR="00842F23" w:rsidRPr="00A4780F">
                <w:rPr>
                  <w:rStyle w:val="Hyperlink"/>
                  <w:rFonts w:ascii="Times New Roman" w:eastAsia="Times New Roman" w:hAnsi="Times New Roman" w:cs="Times New Roman"/>
                  <w:sz w:val="24"/>
                  <w:szCs w:val="24"/>
                  <w:lang w:val="bg-BG"/>
                </w:rPr>
                <w:t>@moew.government.bg</w:t>
              </w:r>
            </w:hyperlink>
            <w:r w:rsidR="00F216DF">
              <w:rPr>
                <w:rFonts w:ascii="Times New Roman" w:eastAsia="Times New Roman" w:hAnsi="Times New Roman" w:cs="Times New Roman"/>
                <w:sz w:val="24"/>
                <w:szCs w:val="24"/>
                <w:lang w:val="bg-BG"/>
              </w:rPr>
              <w:t xml:space="preserve"> </w:t>
            </w:r>
          </w:p>
        </w:tc>
      </w:tr>
      <w:tr w:rsidR="00076E63" w:rsidRPr="003C124D" w14:paraId="2757906E" w14:textId="77777777" w:rsidTr="00C93DF1">
        <w:tc>
          <w:tcPr>
            <w:tcW w:w="10266" w:type="dxa"/>
            <w:gridSpan w:val="3"/>
          </w:tcPr>
          <w:p w14:paraId="71074557" w14:textId="246B1661"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1. </w:t>
            </w:r>
            <w:r w:rsidR="001138D1">
              <w:rPr>
                <w:rFonts w:ascii="Times New Roman" w:eastAsia="Times New Roman" w:hAnsi="Times New Roman" w:cs="Times New Roman"/>
                <w:b/>
                <w:sz w:val="24"/>
                <w:szCs w:val="24"/>
                <w:lang w:val="bg-BG"/>
              </w:rPr>
              <w:t>Проблем/</w:t>
            </w:r>
            <w:r w:rsidR="009D4DA5">
              <w:rPr>
                <w:rFonts w:ascii="Times New Roman" w:eastAsia="Times New Roman" w:hAnsi="Times New Roman" w:cs="Times New Roman"/>
                <w:b/>
                <w:sz w:val="24"/>
                <w:szCs w:val="24"/>
                <w:lang w:val="bg-BG"/>
              </w:rPr>
              <w:t>проблем</w:t>
            </w:r>
            <w:r w:rsidR="001138D1">
              <w:rPr>
                <w:rFonts w:ascii="Times New Roman" w:eastAsia="Times New Roman" w:hAnsi="Times New Roman" w:cs="Times New Roman"/>
                <w:b/>
                <w:sz w:val="24"/>
                <w:szCs w:val="24"/>
                <w:lang w:val="bg-BG"/>
              </w:rPr>
              <w:t>и за решаване</w:t>
            </w:r>
            <w:r w:rsidR="000D4446">
              <w:rPr>
                <w:rFonts w:ascii="Times New Roman" w:eastAsia="Times New Roman" w:hAnsi="Times New Roman" w:cs="Times New Roman"/>
                <w:b/>
                <w:sz w:val="24"/>
                <w:szCs w:val="24"/>
                <w:lang w:val="bg-BG"/>
              </w:rPr>
              <w:t>:</w:t>
            </w:r>
          </w:p>
          <w:p w14:paraId="4710A5C6" w14:textId="2E6785E5" w:rsidR="000D4446" w:rsidRPr="00842F23" w:rsidRDefault="000D4446" w:rsidP="00842F23">
            <w:pPr>
              <w:spacing w:line="240" w:lineRule="auto"/>
              <w:ind w:firstLine="574"/>
              <w:jc w:val="both"/>
              <w:rPr>
                <w:rFonts w:ascii="Times New Roman" w:hAnsi="Times New Roman"/>
                <w:sz w:val="24"/>
                <w:szCs w:val="24"/>
                <w:lang w:val="bg-BG" w:eastAsia="bg-BG"/>
              </w:rPr>
            </w:pPr>
            <w:r w:rsidRPr="00B841F4">
              <w:rPr>
                <w:rFonts w:ascii="Times New Roman" w:hAnsi="Times New Roman"/>
                <w:sz w:val="24"/>
                <w:szCs w:val="24"/>
                <w:lang w:val="bg-BG" w:eastAsia="bg-BG"/>
              </w:rPr>
              <w:t xml:space="preserve">С проекта на ПМС за изменение и допълнение се </w:t>
            </w:r>
            <w:r>
              <w:rPr>
                <w:rFonts w:ascii="Times New Roman" w:hAnsi="Times New Roman"/>
                <w:sz w:val="24"/>
                <w:szCs w:val="24"/>
                <w:lang w:val="bg-BG" w:eastAsia="bg-BG"/>
              </w:rPr>
              <w:t xml:space="preserve">предвижда изменение на </w:t>
            </w:r>
            <w:r w:rsidRPr="00842F23">
              <w:rPr>
                <w:rFonts w:ascii="Times New Roman" w:hAnsi="Times New Roman"/>
                <w:sz w:val="24"/>
                <w:szCs w:val="24"/>
                <w:lang w:val="bg-BG" w:eastAsia="bg-BG"/>
              </w:rPr>
              <w:t>Наредба за определяне на реда и размера за заплащане на продуктова такса</w:t>
            </w:r>
            <w:r w:rsidR="00D74A48">
              <w:rPr>
                <w:rFonts w:ascii="Times New Roman" w:hAnsi="Times New Roman"/>
                <w:sz w:val="24"/>
                <w:szCs w:val="24"/>
                <w:lang w:val="bg-BG" w:eastAsia="bg-BG"/>
              </w:rPr>
              <w:t>, конкретно в частта намаляване размера на дължимите продуктови такси за пуснатото на пазара електрическо и електронно оборудване, съгласно определения размер в приложение № 8</w:t>
            </w:r>
            <w:r w:rsidRPr="00842F23">
              <w:rPr>
                <w:rFonts w:ascii="Times New Roman" w:hAnsi="Times New Roman"/>
                <w:sz w:val="24"/>
                <w:szCs w:val="24"/>
                <w:lang w:val="bg-BG" w:eastAsia="bg-BG"/>
              </w:rPr>
              <w:t>.</w:t>
            </w:r>
          </w:p>
          <w:p w14:paraId="082CE4A2" w14:textId="00A0C859" w:rsidR="00076E63" w:rsidRDefault="00076E63" w:rsidP="00076E63">
            <w:pPr>
              <w:spacing w:before="120" w:after="120" w:line="240" w:lineRule="auto"/>
              <w:jc w:val="both"/>
              <w:rPr>
                <w:rFonts w:ascii="Times New Roman" w:eastAsia="Times New Roman" w:hAnsi="Times New Roman" w:cs="Times New Roman"/>
                <w:b/>
                <w:i/>
                <w:sz w:val="24"/>
                <w:szCs w:val="24"/>
                <w:lang w:val="bg-BG"/>
              </w:rPr>
            </w:pPr>
            <w:r w:rsidRPr="00076E63">
              <w:rPr>
                <w:rFonts w:ascii="Times New Roman" w:eastAsia="Times New Roman" w:hAnsi="Times New Roman" w:cs="Times New Roman"/>
                <w:b/>
                <w:sz w:val="24"/>
                <w:szCs w:val="24"/>
                <w:lang w:val="bg-BG"/>
              </w:rPr>
              <w:t xml:space="preserve">Проблем </w:t>
            </w:r>
            <w:r w:rsidR="00D74A48">
              <w:rPr>
                <w:rFonts w:ascii="Times New Roman" w:eastAsia="Times New Roman" w:hAnsi="Times New Roman" w:cs="Times New Roman"/>
                <w:b/>
                <w:sz w:val="24"/>
                <w:szCs w:val="24"/>
                <w:lang w:val="bg-BG"/>
              </w:rPr>
              <w:t>1</w:t>
            </w:r>
            <w:r w:rsidR="000D4446">
              <w:rPr>
                <w:rFonts w:ascii="Times New Roman" w:eastAsia="Times New Roman" w:hAnsi="Times New Roman" w:cs="Times New Roman"/>
                <w:b/>
                <w:sz w:val="24"/>
                <w:szCs w:val="24"/>
                <w:lang w:val="bg-BG"/>
              </w:rPr>
              <w:t xml:space="preserve">: </w:t>
            </w:r>
            <w:r w:rsidR="000D4446" w:rsidRPr="000D4446">
              <w:rPr>
                <w:rFonts w:ascii="Times New Roman" w:eastAsia="Times New Roman" w:hAnsi="Times New Roman" w:cs="Times New Roman"/>
                <w:b/>
                <w:i/>
                <w:sz w:val="24"/>
                <w:szCs w:val="24"/>
                <w:lang w:val="bg-BG"/>
              </w:rPr>
              <w:t>„</w:t>
            </w:r>
            <w:r w:rsidR="00D74A48">
              <w:rPr>
                <w:rFonts w:ascii="Times New Roman" w:eastAsia="Times New Roman" w:hAnsi="Times New Roman" w:cs="Times New Roman"/>
                <w:b/>
                <w:i/>
                <w:sz w:val="24"/>
                <w:szCs w:val="24"/>
                <w:lang w:val="bg-BG"/>
              </w:rPr>
              <w:t>Високи размери на дължимите продуктови такси за пуснатото на пазара електрическо и електронно оборудване</w:t>
            </w:r>
            <w:r w:rsidR="000D4446" w:rsidRPr="000D4446">
              <w:rPr>
                <w:rFonts w:ascii="Times New Roman" w:eastAsia="Times New Roman" w:hAnsi="Times New Roman" w:cs="Times New Roman"/>
                <w:b/>
                <w:i/>
                <w:sz w:val="24"/>
                <w:szCs w:val="24"/>
                <w:lang w:val="bg-BG"/>
              </w:rPr>
              <w:t>“.</w:t>
            </w:r>
          </w:p>
          <w:p w14:paraId="66643372" w14:textId="3FB9A8B8" w:rsidR="00395FCD" w:rsidRPr="00793CF6" w:rsidRDefault="00395FCD" w:rsidP="00793CF6">
            <w:pPr>
              <w:spacing w:before="100" w:beforeAutospacing="1" w:after="100" w:afterAutospacing="1"/>
              <w:ind w:firstLine="567"/>
              <w:contextualSpacing/>
              <w:jc w:val="both"/>
              <w:rPr>
                <w:rFonts w:ascii="Times New Roman" w:eastAsia="Times New Roman" w:hAnsi="Times New Roman"/>
                <w:color w:val="222222"/>
                <w:sz w:val="24"/>
                <w:szCs w:val="24"/>
                <w:lang w:eastAsia="en-GB"/>
              </w:rPr>
            </w:pPr>
            <w:r w:rsidRPr="007D3D64">
              <w:rPr>
                <w:rFonts w:ascii="Times New Roman" w:eastAsia="Times New Roman" w:hAnsi="Times New Roman"/>
                <w:color w:val="222222"/>
                <w:sz w:val="24"/>
                <w:szCs w:val="24"/>
                <w:lang w:val="bg-BG" w:eastAsia="en-GB"/>
              </w:rPr>
              <w:t>Действащата наредба урежда реда за заплащане и начина за изчисляване на размера на продуктовата такса, а конкретните числови стойности са фиксирани в приложенията към нея. Наредбата не съдържа и не е съпроводена с отделна, изрично разписана методика, по която са формирани самите единични размери на тези ставки. С други думи, нормативният акт показва как се изчислява дължимата сума въз основа на вече зададени ставки, но не съдържа самостоятелен механизъм, критерии или референтна формула за определяне на самите числови равнища. Липсата на изрично нормативно закрепена методика налага преразглеждане на размера на таксите и въвеждане на по-ясна и защитима логика за тяхното определяне.</w:t>
            </w:r>
          </w:p>
          <w:p w14:paraId="2D167881" w14:textId="77777777" w:rsidR="00395FCD" w:rsidRPr="007D3D64" w:rsidRDefault="00395FCD" w:rsidP="00395FCD">
            <w:pPr>
              <w:spacing w:before="100" w:beforeAutospacing="1" w:after="100" w:afterAutospacing="1"/>
              <w:ind w:firstLine="567"/>
              <w:contextualSpacing/>
              <w:jc w:val="both"/>
              <w:rPr>
                <w:rFonts w:ascii="Times New Roman" w:eastAsia="Times New Roman" w:hAnsi="Times New Roman"/>
                <w:color w:val="222222"/>
                <w:sz w:val="24"/>
                <w:szCs w:val="24"/>
                <w:lang w:val="bg-BG" w:eastAsia="en-GB"/>
              </w:rPr>
            </w:pPr>
            <w:r w:rsidRPr="007D3D64">
              <w:rPr>
                <w:rFonts w:ascii="Times New Roman" w:eastAsia="Times New Roman" w:hAnsi="Times New Roman"/>
                <w:color w:val="222222"/>
                <w:sz w:val="24"/>
                <w:szCs w:val="24"/>
                <w:lang w:val="bg-BG" w:eastAsia="en-GB"/>
              </w:rPr>
              <w:t>Правната конструкция на режима показва, че продуктовата такса не е общо приложима текуща вноска за всички пускащи на пазара лица, а действа като икономически неблагоприятна последна опция при неизпълнение на задълженията по разширена отговорност на производителя. ЗУО и действащата наредба изрично предвиждат, че продуктова такса не се заплаща от лицата, които участват в колективна система, представлявана от организация по оползотворяване, или изпълняват задълженията си индивидуално. Това означава, че таксата не е санкция в тесния смисъл на административнонаказателното право, но има ясно възпираща и дисциплинираща функция и именно поради това в стопанската практика често се възприема като санкционен ориентир. </w:t>
            </w:r>
          </w:p>
          <w:p w14:paraId="5219A968" w14:textId="77777777" w:rsidR="00395FCD" w:rsidRPr="007D3D64" w:rsidRDefault="00395FCD" w:rsidP="00395FCD">
            <w:pPr>
              <w:spacing w:before="100" w:beforeAutospacing="1" w:after="100" w:afterAutospacing="1"/>
              <w:ind w:firstLine="567"/>
              <w:contextualSpacing/>
              <w:jc w:val="both"/>
              <w:rPr>
                <w:rFonts w:ascii="Times New Roman" w:eastAsia="Times New Roman" w:hAnsi="Times New Roman"/>
                <w:color w:val="222222"/>
                <w:sz w:val="24"/>
                <w:szCs w:val="24"/>
                <w:lang w:val="bg-BG" w:eastAsia="en-GB"/>
              </w:rPr>
            </w:pPr>
            <w:r w:rsidRPr="007D3D64">
              <w:rPr>
                <w:rFonts w:ascii="Times New Roman" w:eastAsia="Times New Roman" w:hAnsi="Times New Roman"/>
                <w:color w:val="222222"/>
                <w:sz w:val="24"/>
                <w:szCs w:val="24"/>
                <w:lang w:val="bg-BG" w:eastAsia="en-GB"/>
              </w:rPr>
              <w:t>Същевременно самата наредба предвижда, че продуктовата такса се смята за включена в продажната цена на съответния продукт, като размерът ѝ може отделно да се показва на крайния потребител. Оттук следва, че когато ставките са определени на прекомерно високи равнища, те не остават само вътрешен регулаторен параметър, а се превръщат в пряк ценови компонент по веригата на доставки. Това обуславя необходимостта от корекция не за да се отслаби режимът, а за да се възстанови неговата пропорционалност. </w:t>
            </w:r>
          </w:p>
          <w:p w14:paraId="74695073" w14:textId="77777777" w:rsidR="00793CF6" w:rsidRDefault="00395FCD" w:rsidP="00395FCD">
            <w:pPr>
              <w:spacing w:before="100" w:beforeAutospacing="1" w:after="100" w:afterAutospacing="1"/>
              <w:ind w:firstLine="567"/>
              <w:contextualSpacing/>
              <w:jc w:val="both"/>
            </w:pPr>
            <w:r w:rsidRPr="007D3D64">
              <w:rPr>
                <w:rFonts w:ascii="Times New Roman" w:eastAsia="Times New Roman" w:hAnsi="Times New Roman"/>
                <w:color w:val="222222"/>
                <w:sz w:val="24"/>
                <w:szCs w:val="24"/>
                <w:lang w:val="bg-BG" w:eastAsia="en-GB"/>
              </w:rPr>
              <w:t xml:space="preserve">Има и допълнителен пазарен аргумент. Продуктовата такса е база за формиране на лицензионните възнаграждения на организациите по оползотворяване. Множество анализи на участници в пазара, както и анализи, извършени в МОСВ, показват, че новите разходи за рециклиране в България са оценени като между два и пет пъти по-високи от средни сравними </w:t>
            </w:r>
            <w:r w:rsidRPr="007D3D64">
              <w:rPr>
                <w:rFonts w:ascii="Times New Roman" w:eastAsia="Times New Roman" w:hAnsi="Times New Roman"/>
                <w:color w:val="222222"/>
                <w:sz w:val="24"/>
                <w:szCs w:val="24"/>
                <w:lang w:val="bg-BG" w:eastAsia="en-GB"/>
              </w:rPr>
              <w:lastRenderedPageBreak/>
              <w:t>равнища в други държави членки, и че увеличените лицензионни възнаграждения са средно около 60% от размерите на продуктовата такса. Това не са официални нормативни източници и не следва да се абсолютизират, но те са силно свидетелство, че равнищата на таксата към ПУДООС реално играят водеща регулаторна роля на пазара на оползотворяване.</w:t>
            </w:r>
            <w:r w:rsidR="00793CF6">
              <w:t xml:space="preserve"> </w:t>
            </w:r>
          </w:p>
          <w:p w14:paraId="3D84CBA1" w14:textId="6F10CDD0" w:rsidR="00395FCD" w:rsidRDefault="00793CF6" w:rsidP="00395FCD">
            <w:pPr>
              <w:spacing w:before="100" w:beforeAutospacing="1" w:after="100" w:afterAutospacing="1"/>
              <w:ind w:firstLine="567"/>
              <w:contextualSpacing/>
              <w:jc w:val="both"/>
              <w:rPr>
                <w:rFonts w:ascii="Times New Roman" w:eastAsia="Times New Roman" w:hAnsi="Times New Roman"/>
                <w:color w:val="222222"/>
                <w:sz w:val="24"/>
                <w:szCs w:val="24"/>
                <w:lang w:val="bg-BG" w:eastAsia="en-GB"/>
              </w:rPr>
            </w:pPr>
            <w:r w:rsidRPr="00793CF6">
              <w:rPr>
                <w:rFonts w:ascii="Times New Roman" w:eastAsia="Times New Roman" w:hAnsi="Times New Roman"/>
                <w:color w:val="222222"/>
                <w:sz w:val="24"/>
                <w:szCs w:val="24"/>
                <w:lang w:val="bg-BG" w:eastAsia="en-GB"/>
              </w:rPr>
              <w:t xml:space="preserve">Предлаганото изменение е необходимо, защото действащите размери на продуктовите такси са нормативно фиксирани без изрично разписана в самата наредба методика за формиране на числовите им стойности, а в същото време имат силна регулаторна роля в системата на разширената отговорност на производителя и реално влияят върху цените и поведението на пазара. Намаляването им до по-адекватни равнища, определени чрез средноевропейски бенчмарк с коефициент 140% за запазване на характера им на последна и по-неблагоприятна опция, е съвместимо със ЗУО, ЗООС, ЗНА, НПУО и с правото на ЕС. Паралелната промяна в правилника и приоритетите на ПУДООС ще довърши реформата, като създаде по-пряка връзка между постъпленията и реалното оползотворяване на съответните отпадъчни потоци.  </w:t>
            </w:r>
          </w:p>
          <w:p w14:paraId="65A844A7" w14:textId="77777777" w:rsidR="00AA0C4F" w:rsidRDefault="00AA0C4F" w:rsidP="00AA0C4F">
            <w:pPr>
              <w:spacing w:before="100" w:beforeAutospacing="1" w:after="100" w:afterAutospacing="1"/>
              <w:ind w:firstLine="567"/>
              <w:contextualSpacing/>
              <w:jc w:val="both"/>
              <w:rPr>
                <w:rFonts w:ascii="Times New Roman" w:eastAsia="Times New Roman" w:hAnsi="Times New Roman"/>
                <w:b/>
                <w:bCs/>
                <w:color w:val="222222"/>
                <w:sz w:val="24"/>
                <w:szCs w:val="24"/>
                <w:lang w:val="bg-BG" w:eastAsia="en-GB"/>
              </w:rPr>
            </w:pPr>
          </w:p>
          <w:p w14:paraId="7A8F7C11" w14:textId="5022E497" w:rsidR="00AA0C4F" w:rsidRPr="00AA0C4F" w:rsidRDefault="00AA0C4F" w:rsidP="00AA0C4F">
            <w:pPr>
              <w:spacing w:before="100" w:beforeAutospacing="1" w:after="100" w:afterAutospacing="1"/>
              <w:ind w:firstLine="567"/>
              <w:contextualSpacing/>
              <w:jc w:val="both"/>
              <w:rPr>
                <w:rFonts w:ascii="Times New Roman" w:eastAsia="Times New Roman" w:hAnsi="Times New Roman"/>
                <w:b/>
                <w:bCs/>
                <w:color w:val="222222"/>
                <w:sz w:val="24"/>
                <w:szCs w:val="24"/>
                <w:lang w:val="bg-BG" w:eastAsia="en-GB"/>
              </w:rPr>
            </w:pPr>
            <w:r w:rsidRPr="00AA0C4F">
              <w:rPr>
                <w:rFonts w:ascii="Times New Roman" w:eastAsia="Times New Roman" w:hAnsi="Times New Roman"/>
                <w:b/>
                <w:bCs/>
                <w:color w:val="222222"/>
                <w:sz w:val="24"/>
                <w:szCs w:val="24"/>
                <w:lang w:val="bg-BG" w:eastAsia="en-GB"/>
              </w:rPr>
              <w:t>Сравнение с ЕС</w:t>
            </w:r>
          </w:p>
          <w:p w14:paraId="6D9784D2" w14:textId="77777777" w:rsidR="00AA0C4F" w:rsidRPr="00AA0C4F" w:rsidRDefault="00AA0C4F" w:rsidP="00AA0C4F">
            <w:pPr>
              <w:spacing w:before="100" w:beforeAutospacing="1" w:after="100" w:afterAutospacing="1"/>
              <w:ind w:firstLine="567"/>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Данните от сравнителния анализ показват:</w:t>
            </w:r>
          </w:p>
          <w:p w14:paraId="68CF54D0" w14:textId="77777777" w:rsidR="00AA0C4F" w:rsidRPr="00AA0C4F" w:rsidRDefault="00AA0C4F" w:rsidP="00AA0C4F">
            <w:pPr>
              <w:numPr>
                <w:ilvl w:val="0"/>
                <w:numId w:val="17"/>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Български държавни продуктови такси:</w:t>
            </w:r>
          </w:p>
          <w:p w14:paraId="74F59862" w14:textId="77777777" w:rsidR="00AA0C4F" w:rsidRPr="00AA0C4F" w:rsidRDefault="00AA0C4F" w:rsidP="00AA0C4F">
            <w:pPr>
              <w:numPr>
                <w:ilvl w:val="1"/>
                <w:numId w:val="17"/>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4 до 9 пъти по-високи от средното в ЕС</w:t>
            </w:r>
          </w:p>
          <w:p w14:paraId="0CE3EC3A" w14:textId="77777777" w:rsidR="00AA0C4F" w:rsidRPr="00AA0C4F" w:rsidRDefault="00AA0C4F" w:rsidP="00AA0C4F">
            <w:pPr>
              <w:numPr>
                <w:ilvl w:val="0"/>
                <w:numId w:val="17"/>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Лицензионни възнаграждения към ООп:</w:t>
            </w:r>
          </w:p>
          <w:p w14:paraId="1EEA3408" w14:textId="77777777" w:rsidR="00AA0C4F" w:rsidRPr="00AA0C4F" w:rsidRDefault="00AA0C4F" w:rsidP="00AA0C4F">
            <w:pPr>
              <w:numPr>
                <w:ilvl w:val="1"/>
                <w:numId w:val="17"/>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2 до 6 пъти по-високи</w:t>
            </w:r>
          </w:p>
          <w:p w14:paraId="19DACAE9" w14:textId="77777777" w:rsidR="00AA0C4F" w:rsidRPr="00AA0C4F" w:rsidRDefault="00AA0C4F" w:rsidP="00AA0C4F">
            <w:pPr>
              <w:spacing w:before="100" w:beforeAutospacing="1" w:after="100" w:afterAutospacing="1"/>
              <w:ind w:firstLine="567"/>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В някои държави:</w:t>
            </w:r>
          </w:p>
          <w:p w14:paraId="79A7025D" w14:textId="77777777" w:rsidR="00AA0C4F" w:rsidRPr="00AA0C4F" w:rsidRDefault="00AA0C4F" w:rsidP="00AA0C4F">
            <w:pPr>
              <w:numPr>
                <w:ilvl w:val="0"/>
                <w:numId w:val="18"/>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таксите са:</w:t>
            </w:r>
          </w:p>
          <w:p w14:paraId="1712B30E" w14:textId="1F05DCE8" w:rsidR="00AA0C4F" w:rsidRPr="00AA0C4F" w:rsidRDefault="00AA0C4F" w:rsidP="00AA0C4F">
            <w:pPr>
              <w:numPr>
                <w:ilvl w:val="1"/>
                <w:numId w:val="18"/>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w:t>
            </w:r>
            <w:r w:rsidR="00144B17">
              <w:rPr>
                <w:rFonts w:ascii="Times New Roman" w:eastAsia="Times New Roman" w:hAnsi="Times New Roman"/>
                <w:color w:val="222222"/>
                <w:sz w:val="24"/>
                <w:szCs w:val="24"/>
                <w:lang w:val="bg-BG" w:eastAsia="en-GB"/>
              </w:rPr>
              <w:t xml:space="preserve"> </w:t>
            </w:r>
            <w:r w:rsidRPr="00AA0C4F">
              <w:rPr>
                <w:rFonts w:ascii="Times New Roman" w:eastAsia="Times New Roman" w:hAnsi="Times New Roman"/>
                <w:color w:val="222222"/>
                <w:sz w:val="24"/>
                <w:szCs w:val="24"/>
                <w:lang w:val="bg-BG" w:eastAsia="en-GB"/>
              </w:rPr>
              <w:t>€</w:t>
            </w:r>
            <w:r w:rsidR="00144B17">
              <w:rPr>
                <w:rFonts w:ascii="Times New Roman" w:eastAsia="Times New Roman" w:hAnsi="Times New Roman"/>
                <w:color w:val="222222"/>
                <w:sz w:val="24"/>
                <w:szCs w:val="24"/>
                <w:lang w:val="bg-BG" w:eastAsia="en-GB"/>
              </w:rPr>
              <w:t xml:space="preserve"> </w:t>
            </w:r>
            <w:r w:rsidRPr="00AA0C4F">
              <w:rPr>
                <w:rFonts w:ascii="Times New Roman" w:eastAsia="Times New Roman" w:hAnsi="Times New Roman"/>
                <w:color w:val="222222"/>
                <w:sz w:val="24"/>
                <w:szCs w:val="24"/>
                <w:lang w:val="bg-BG" w:eastAsia="en-GB"/>
              </w:rPr>
              <w:t>0.2 – €</w:t>
            </w:r>
            <w:r w:rsidR="00144B17">
              <w:rPr>
                <w:rFonts w:ascii="Times New Roman" w:eastAsia="Times New Roman" w:hAnsi="Times New Roman"/>
                <w:color w:val="222222"/>
                <w:sz w:val="24"/>
                <w:szCs w:val="24"/>
                <w:lang w:val="bg-BG" w:eastAsia="en-GB"/>
              </w:rPr>
              <w:t xml:space="preserve"> </w:t>
            </w:r>
            <w:r w:rsidRPr="00AA0C4F">
              <w:rPr>
                <w:rFonts w:ascii="Times New Roman" w:eastAsia="Times New Roman" w:hAnsi="Times New Roman"/>
                <w:color w:val="222222"/>
                <w:sz w:val="24"/>
                <w:szCs w:val="24"/>
                <w:lang w:val="bg-BG" w:eastAsia="en-GB"/>
              </w:rPr>
              <w:t>0.6/кг за масови категории</w:t>
            </w:r>
          </w:p>
          <w:p w14:paraId="436BF0EF" w14:textId="77777777" w:rsidR="00AA0C4F" w:rsidRPr="00AA0C4F" w:rsidRDefault="00AA0C4F" w:rsidP="00AA0C4F">
            <w:pPr>
              <w:numPr>
                <w:ilvl w:val="0"/>
                <w:numId w:val="18"/>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в България:</w:t>
            </w:r>
          </w:p>
          <w:p w14:paraId="1F06DA4A" w14:textId="04FBD973" w:rsidR="00AA0C4F" w:rsidRPr="00AA0C4F" w:rsidRDefault="00AA0C4F" w:rsidP="00AA0C4F">
            <w:pPr>
              <w:numPr>
                <w:ilvl w:val="1"/>
                <w:numId w:val="18"/>
              </w:numPr>
              <w:spacing w:before="100" w:beforeAutospacing="1" w:after="100" w:afterAutospacing="1"/>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често €</w:t>
            </w:r>
            <w:r w:rsidR="00144B17">
              <w:rPr>
                <w:rFonts w:ascii="Times New Roman" w:eastAsia="Times New Roman" w:hAnsi="Times New Roman"/>
                <w:color w:val="222222"/>
                <w:sz w:val="24"/>
                <w:szCs w:val="24"/>
                <w:lang w:val="bg-BG" w:eastAsia="en-GB"/>
              </w:rPr>
              <w:t xml:space="preserve"> </w:t>
            </w:r>
            <w:r w:rsidRPr="00AA0C4F">
              <w:rPr>
                <w:rFonts w:ascii="Times New Roman" w:eastAsia="Times New Roman" w:hAnsi="Times New Roman"/>
                <w:color w:val="222222"/>
                <w:sz w:val="24"/>
                <w:szCs w:val="24"/>
                <w:lang w:val="bg-BG" w:eastAsia="en-GB"/>
              </w:rPr>
              <w:t>1 – €</w:t>
            </w:r>
            <w:r w:rsidR="00144B17">
              <w:rPr>
                <w:rFonts w:ascii="Times New Roman" w:eastAsia="Times New Roman" w:hAnsi="Times New Roman"/>
                <w:color w:val="222222"/>
                <w:sz w:val="24"/>
                <w:szCs w:val="24"/>
                <w:lang w:val="bg-BG" w:eastAsia="en-GB"/>
              </w:rPr>
              <w:t xml:space="preserve"> </w:t>
            </w:r>
            <w:r w:rsidRPr="00AA0C4F">
              <w:rPr>
                <w:rFonts w:ascii="Times New Roman" w:eastAsia="Times New Roman" w:hAnsi="Times New Roman"/>
                <w:color w:val="222222"/>
                <w:sz w:val="24"/>
                <w:szCs w:val="24"/>
                <w:lang w:val="bg-BG" w:eastAsia="en-GB"/>
              </w:rPr>
              <w:t>4+/кг</w:t>
            </w:r>
          </w:p>
          <w:p w14:paraId="72B48BE3" w14:textId="58C25F32" w:rsidR="00AA0C4F" w:rsidRPr="007D3D64" w:rsidRDefault="00AA0C4F" w:rsidP="00BD54F1">
            <w:pPr>
              <w:spacing w:before="100" w:beforeAutospacing="1" w:after="100" w:afterAutospacing="1"/>
              <w:ind w:firstLine="567"/>
              <w:contextualSpacing/>
              <w:jc w:val="both"/>
              <w:rPr>
                <w:rFonts w:ascii="Times New Roman" w:eastAsia="Times New Roman" w:hAnsi="Times New Roman"/>
                <w:color w:val="222222"/>
                <w:sz w:val="24"/>
                <w:szCs w:val="24"/>
                <w:lang w:val="bg-BG" w:eastAsia="en-GB"/>
              </w:rPr>
            </w:pPr>
            <w:r w:rsidRPr="00AA0C4F">
              <w:rPr>
                <w:rFonts w:ascii="Times New Roman" w:eastAsia="Times New Roman" w:hAnsi="Times New Roman"/>
                <w:color w:val="222222"/>
                <w:sz w:val="24"/>
                <w:szCs w:val="24"/>
                <w:lang w:val="bg-BG" w:eastAsia="en-GB"/>
              </w:rPr>
              <w:t>Ра</w:t>
            </w:r>
            <w:r w:rsidR="00BD54F1">
              <w:rPr>
                <w:rFonts w:ascii="Times New Roman" w:eastAsia="Times New Roman" w:hAnsi="Times New Roman"/>
                <w:color w:val="222222"/>
                <w:sz w:val="24"/>
                <w:szCs w:val="24"/>
                <w:lang w:val="bg-BG" w:eastAsia="en-GB"/>
              </w:rPr>
              <w:t>зликата е системна, не единична.</w:t>
            </w:r>
          </w:p>
          <w:p w14:paraId="20BBF8FC" w14:textId="5FCF9113" w:rsidR="000D4446" w:rsidRDefault="000D4446" w:rsidP="000D4446">
            <w:pPr>
              <w:tabs>
                <w:tab w:val="left" w:pos="495"/>
              </w:tabs>
              <w:spacing w:after="120" w:line="240" w:lineRule="auto"/>
              <w:rPr>
                <w:rFonts w:ascii="Times New Roman" w:eastAsia="Times New Roman" w:hAnsi="Times New Roman" w:cs="Times New Roman"/>
                <w:i/>
                <w:sz w:val="16"/>
                <w:szCs w:val="16"/>
                <w:lang w:val="bg-BG"/>
              </w:rPr>
            </w:pPr>
          </w:p>
          <w:p w14:paraId="22AFA1BD" w14:textId="4BD40B22"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 Кратко опишете проблема/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r w:rsidR="0060089B">
              <w:rPr>
                <w:rFonts w:ascii="Times New Roman" w:eastAsia="Times New Roman" w:hAnsi="Times New Roman" w:cs="Times New Roman"/>
                <w:i/>
                <w:sz w:val="16"/>
                <w:szCs w:val="16"/>
                <w:lang w:val="bg-BG"/>
              </w:rPr>
              <w:t>.</w:t>
            </w:r>
          </w:p>
          <w:p w14:paraId="46DC90C6" w14:textId="77777777"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16AACFDA" w14:textId="5D71E633"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w:t>
            </w:r>
          </w:p>
          <w:p w14:paraId="31F4A275" w14:textId="38AC090A"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sidR="009D4DA5">
              <w:rPr>
                <w:rFonts w:ascii="Times New Roman" w:eastAsia="Times New Roman" w:hAnsi="Times New Roman" w:cs="Times New Roman"/>
                <w:i/>
                <w:sz w:val="16"/>
                <w:szCs w:val="16"/>
                <w:lang w:val="bg-BG"/>
              </w:rPr>
              <w:t>актове</w:t>
            </w:r>
            <w:r w:rsidRPr="00076E63">
              <w:rPr>
                <w:rFonts w:ascii="Times New Roman" w:eastAsia="Times New Roman" w:hAnsi="Times New Roman" w:cs="Times New Roman"/>
                <w:i/>
                <w:sz w:val="16"/>
                <w:szCs w:val="16"/>
                <w:lang w:val="bg-BG"/>
              </w:rPr>
              <w:t xml:space="preserve"> от правото на ЕС.</w:t>
            </w:r>
          </w:p>
          <w:p w14:paraId="11092831" w14:textId="0D6D4380" w:rsidR="00076E63" w:rsidRPr="00076E63" w:rsidRDefault="00076E63" w:rsidP="0060089B">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r w:rsidRPr="00076E63">
              <w:rPr>
                <w:rFonts w:ascii="Times New Roman" w:eastAsia="Times New Roman" w:hAnsi="Times New Roman" w:cs="Times New Roman"/>
                <w:i/>
                <w:sz w:val="24"/>
                <w:szCs w:val="24"/>
                <w:lang w:val="bg-BG"/>
              </w:rPr>
              <w:t xml:space="preserve"> </w:t>
            </w:r>
          </w:p>
        </w:tc>
      </w:tr>
      <w:tr w:rsidR="00076E63" w:rsidRPr="003C124D" w14:paraId="1749561E" w14:textId="77777777" w:rsidTr="00C93DF1">
        <w:tc>
          <w:tcPr>
            <w:tcW w:w="10266" w:type="dxa"/>
            <w:gridSpan w:val="3"/>
          </w:tcPr>
          <w:p w14:paraId="654CA161" w14:textId="77777777" w:rsidR="00076E63" w:rsidRPr="00076E63" w:rsidRDefault="00076E63" w:rsidP="00076E63">
            <w:pPr>
              <w:spacing w:before="120"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Цели:</w:t>
            </w:r>
          </w:p>
          <w:p w14:paraId="09DE290A" w14:textId="2774A9AA" w:rsidR="00B86BD2" w:rsidRDefault="0057305D" w:rsidP="00793CF6">
            <w:pPr>
              <w:spacing w:before="120" w:after="120" w:line="240" w:lineRule="auto"/>
              <w:jc w:val="both"/>
              <w:rPr>
                <w:rFonts w:ascii="Times New Roman" w:eastAsia="Times New Roman" w:hAnsi="Times New Roman" w:cs="Times New Roman"/>
                <w:b/>
                <w:sz w:val="24"/>
                <w:szCs w:val="24"/>
                <w:u w:val="single"/>
                <w:lang w:val="bg-BG"/>
              </w:rPr>
            </w:pPr>
            <w:r w:rsidRPr="0057305D">
              <w:rPr>
                <w:rFonts w:ascii="Times New Roman" w:eastAsia="Times New Roman" w:hAnsi="Times New Roman" w:cs="Times New Roman"/>
                <w:b/>
                <w:sz w:val="24"/>
                <w:szCs w:val="24"/>
                <w:u w:val="single"/>
                <w:lang w:val="bg-BG"/>
              </w:rPr>
              <w:t xml:space="preserve">Цел 1: </w:t>
            </w:r>
            <w:r w:rsidR="00793CF6">
              <w:rPr>
                <w:rFonts w:ascii="Times New Roman" w:eastAsia="Times New Roman" w:hAnsi="Times New Roman" w:cs="Times New Roman"/>
                <w:b/>
                <w:sz w:val="24"/>
                <w:szCs w:val="24"/>
                <w:u w:val="single"/>
                <w:lang w:val="bg-BG"/>
              </w:rPr>
              <w:t>Намаляване размера на дължимите продуктови такси за пуснатото на пазара електрическо и електронно оборудване</w:t>
            </w:r>
          </w:p>
          <w:p w14:paraId="6E4BE7C5" w14:textId="616B5965" w:rsidR="00793CF6" w:rsidRPr="00793CF6" w:rsidRDefault="00793CF6" w:rsidP="00793CF6">
            <w:pPr>
              <w:spacing w:before="100" w:beforeAutospacing="1" w:after="100" w:afterAutospacing="1" w:line="276" w:lineRule="auto"/>
              <w:ind w:firstLine="567"/>
              <w:contextualSpacing/>
              <w:jc w:val="both"/>
              <w:rPr>
                <w:rFonts w:ascii="Times New Roman" w:eastAsia="Times New Roman" w:hAnsi="Times New Roman" w:cs="Times New Roman"/>
                <w:color w:val="222222"/>
                <w:sz w:val="24"/>
                <w:szCs w:val="24"/>
                <w:lang w:val="bg-BG" w:eastAsia="en-GB"/>
              </w:rPr>
            </w:pPr>
            <w:r>
              <w:rPr>
                <w:rFonts w:ascii="Times New Roman" w:eastAsia="Times New Roman" w:hAnsi="Times New Roman" w:cs="Times New Roman"/>
                <w:color w:val="222222"/>
                <w:sz w:val="24"/>
                <w:szCs w:val="24"/>
                <w:lang w:val="bg-BG" w:eastAsia="en-GB"/>
              </w:rPr>
              <w:t>Ц</w:t>
            </w:r>
            <w:r w:rsidRPr="00793CF6">
              <w:rPr>
                <w:rFonts w:ascii="Times New Roman" w:eastAsia="Times New Roman" w:hAnsi="Times New Roman" w:cs="Times New Roman"/>
                <w:color w:val="222222"/>
                <w:sz w:val="24"/>
                <w:szCs w:val="24"/>
                <w:lang w:val="bg-BG" w:eastAsia="en-GB"/>
              </w:rPr>
              <w:t>ел</w:t>
            </w:r>
            <w:r>
              <w:rPr>
                <w:rFonts w:ascii="Times New Roman" w:eastAsia="Times New Roman" w:hAnsi="Times New Roman" w:cs="Times New Roman"/>
                <w:color w:val="222222"/>
                <w:sz w:val="24"/>
                <w:szCs w:val="24"/>
                <w:lang w:val="bg-BG" w:eastAsia="en-GB"/>
              </w:rPr>
              <w:t>та</w:t>
            </w:r>
            <w:r w:rsidRPr="00793CF6">
              <w:rPr>
                <w:rFonts w:ascii="Times New Roman" w:eastAsia="Times New Roman" w:hAnsi="Times New Roman" w:cs="Times New Roman"/>
                <w:color w:val="222222"/>
                <w:sz w:val="24"/>
                <w:szCs w:val="24"/>
                <w:lang w:val="bg-BG" w:eastAsia="en-GB"/>
              </w:rPr>
              <w:t xml:space="preserve"> е да се възстанови пропорционалността на продуктовата такса като публичноправен икономически инструмент. Таксата следва да запази характера си на по-неблагоприятна последна опция в системата на разширената отговорност на производителя, но не и да остане на равнища, за които в действащата уредба липсва изрично нормативно обоснована методика.</w:t>
            </w:r>
          </w:p>
          <w:p w14:paraId="71077377" w14:textId="7BCA6221" w:rsidR="00793CF6" w:rsidRPr="00793CF6" w:rsidRDefault="00793CF6" w:rsidP="00793CF6">
            <w:pPr>
              <w:spacing w:before="100" w:beforeAutospacing="1" w:after="100" w:afterAutospacing="1" w:line="276" w:lineRule="auto"/>
              <w:ind w:firstLine="567"/>
              <w:contextualSpacing/>
              <w:jc w:val="both"/>
              <w:rPr>
                <w:rFonts w:ascii="Times New Roman" w:eastAsia="Times New Roman" w:hAnsi="Times New Roman" w:cs="Times New Roman"/>
                <w:color w:val="222222"/>
                <w:sz w:val="24"/>
                <w:szCs w:val="24"/>
                <w:lang w:val="bg-BG" w:eastAsia="en-GB"/>
              </w:rPr>
            </w:pPr>
            <w:r>
              <w:rPr>
                <w:rFonts w:ascii="Times New Roman" w:eastAsia="Times New Roman" w:hAnsi="Times New Roman" w:cs="Times New Roman"/>
                <w:color w:val="222222"/>
                <w:sz w:val="24"/>
                <w:szCs w:val="24"/>
                <w:lang w:val="bg-BG" w:eastAsia="en-GB"/>
              </w:rPr>
              <w:t>Д</w:t>
            </w:r>
            <w:r w:rsidRPr="00793CF6">
              <w:rPr>
                <w:rFonts w:ascii="Times New Roman" w:eastAsia="Times New Roman" w:hAnsi="Times New Roman" w:cs="Times New Roman"/>
                <w:color w:val="222222"/>
                <w:sz w:val="24"/>
                <w:szCs w:val="24"/>
                <w:lang w:val="bg-BG" w:eastAsia="en-GB"/>
              </w:rPr>
              <w:t>а се въведе ясен референтен подход при определяне на ставките чрез сравнителен европейски бенчмарк. Рамковата директива за отпадъците изисква при разширената отговорност на производителя държавите членки да отчитат техническата осъществимост, икономическата жизнеспособност и общото въздействие, като се зачита нуждата от правилно функциониране на вътрешния пазар. Същата директива изисква финансовите вноски да не надхвърлят разходите, необходими за предоставяне на съответните услуги по икономически ефективен начин, и тези разходи да бъдат установени по прозрачен начин.</w:t>
            </w:r>
          </w:p>
          <w:p w14:paraId="2D690938" w14:textId="180D2F33" w:rsidR="00793CF6" w:rsidRPr="00793CF6" w:rsidRDefault="00793CF6" w:rsidP="00793CF6">
            <w:pPr>
              <w:spacing w:before="100" w:beforeAutospacing="1" w:after="100" w:afterAutospacing="1" w:line="276" w:lineRule="auto"/>
              <w:ind w:firstLine="567"/>
              <w:contextualSpacing/>
              <w:jc w:val="both"/>
              <w:rPr>
                <w:rFonts w:ascii="Times New Roman" w:eastAsia="Times New Roman" w:hAnsi="Times New Roman" w:cs="Times New Roman"/>
                <w:color w:val="222222"/>
                <w:sz w:val="24"/>
                <w:szCs w:val="24"/>
                <w:lang w:val="bg-BG" w:eastAsia="en-GB"/>
              </w:rPr>
            </w:pPr>
            <w:r>
              <w:rPr>
                <w:rFonts w:ascii="Times New Roman" w:eastAsia="Times New Roman" w:hAnsi="Times New Roman" w:cs="Times New Roman"/>
                <w:color w:val="222222"/>
                <w:sz w:val="24"/>
                <w:szCs w:val="24"/>
                <w:lang w:val="bg-BG" w:eastAsia="en-GB"/>
              </w:rPr>
              <w:t>С изпълнението на целта ще</w:t>
            </w:r>
            <w:r w:rsidRPr="00793CF6">
              <w:rPr>
                <w:rFonts w:ascii="Times New Roman" w:eastAsia="Times New Roman" w:hAnsi="Times New Roman" w:cs="Times New Roman"/>
                <w:color w:val="222222"/>
                <w:sz w:val="24"/>
                <w:szCs w:val="24"/>
                <w:lang w:val="bg-BG" w:eastAsia="en-GB"/>
              </w:rPr>
              <w:t xml:space="preserve"> се съхрани възпиращият характер на таксата, без да се създава прекомерна регулаторна тежест. Именно затова се предлага новите ставки към ПУДООС да се формират като 140% от средноевропейския бенчмарк за съответната категория. Така таксата остава по-висока от типичните пазарни разходи по оползотворяване, запазва функцията си на последна опция, но вече стъпва върху обективируем и съпоставим ориентир вместо върху административно зададени без ясна методика стойности. Този подход е по-съвместим както с изискването за пропорционалност, така и с логиката на вътрешния пазар.</w:t>
            </w:r>
            <w:r>
              <w:rPr>
                <w:rFonts w:ascii="Times New Roman" w:eastAsia="Times New Roman" w:hAnsi="Times New Roman" w:cs="Times New Roman"/>
                <w:color w:val="222222"/>
                <w:sz w:val="24"/>
                <w:szCs w:val="24"/>
                <w:lang w:val="bg-BG" w:eastAsia="en-GB"/>
              </w:rPr>
              <w:t xml:space="preserve"> Ще</w:t>
            </w:r>
            <w:r w:rsidRPr="00793CF6">
              <w:rPr>
                <w:rFonts w:ascii="Times New Roman" w:eastAsia="Times New Roman" w:hAnsi="Times New Roman" w:cs="Times New Roman"/>
                <w:color w:val="222222"/>
                <w:sz w:val="24"/>
                <w:szCs w:val="24"/>
                <w:lang w:val="bg-BG" w:eastAsia="en-GB"/>
              </w:rPr>
              <w:t xml:space="preserve"> се създаде по-ясна връзка между приходите от продуктови такси и реалното оползотворяване на съответните отпадъчни потоци. Правилникът на ПУДООС предвижда, че предприятието се финансира от такси, определени със специалните закони в областта на околната среда, и че средствата му могат да се разходват за инвестиционни и неинвестиционни екологични проекти, проекти на МОСВ за мониторинг, административни разходи, информационна дейност и други дейности, предвидени с нормативен акт. Затова е оправдано паралелно с изменението на наредбата да се прецизират правилникът и приоритетите на ПУДООС, така че приходите от съответните такси да се насочват по-пряко и проследимо към събиране, подготовка за повторна употреба, рециклиране и оползотворяване на съответния поток отпадъци.</w:t>
            </w:r>
          </w:p>
          <w:p w14:paraId="720FBDB8" w14:textId="77777777" w:rsidR="00B86BD2" w:rsidRDefault="00B86BD2" w:rsidP="0078311F">
            <w:pPr>
              <w:spacing w:after="120" w:line="240" w:lineRule="auto"/>
              <w:jc w:val="center"/>
              <w:rPr>
                <w:rFonts w:ascii="Times New Roman" w:eastAsia="Times New Roman" w:hAnsi="Times New Roman" w:cs="Times New Roman"/>
                <w:i/>
                <w:sz w:val="16"/>
                <w:szCs w:val="16"/>
                <w:lang w:val="bg-BG"/>
              </w:rPr>
            </w:pPr>
          </w:p>
          <w:p w14:paraId="3F4A0FB5" w14:textId="6662A98F" w:rsidR="00076E63" w:rsidRPr="00076E63" w:rsidRDefault="00076E63" w:rsidP="0078311F">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Посочете </w:t>
            </w:r>
            <w:r w:rsidR="0060089B">
              <w:rPr>
                <w:rFonts w:ascii="Times New Roman" w:eastAsia="Times New Roman" w:hAnsi="Times New Roman" w:cs="Times New Roman"/>
                <w:i/>
                <w:sz w:val="16"/>
                <w:szCs w:val="16"/>
                <w:lang w:val="bg-BG"/>
              </w:rPr>
              <w:t xml:space="preserve">определените </w:t>
            </w:r>
            <w:r w:rsidRPr="00076E63">
              <w:rPr>
                <w:rFonts w:ascii="Times New Roman" w:eastAsia="Times New Roman" w:hAnsi="Times New Roman" w:cs="Times New Roman"/>
                <w:i/>
                <w:sz w:val="16"/>
                <w:szCs w:val="16"/>
                <w:lang w:val="bg-BG"/>
              </w:rPr>
              <w:t>цели</w:t>
            </w:r>
            <w:r w:rsidR="0060089B">
              <w:rPr>
                <w:rFonts w:ascii="Times New Roman" w:eastAsia="Times New Roman" w:hAnsi="Times New Roman" w:cs="Times New Roman"/>
                <w:i/>
                <w:sz w:val="16"/>
                <w:szCs w:val="16"/>
                <w:lang w:val="bg-BG"/>
              </w:rPr>
              <w:t xml:space="preserve"> </w:t>
            </w:r>
            <w:r w:rsidRPr="00076E63">
              <w:rPr>
                <w:rFonts w:ascii="Times New Roman" w:eastAsia="Times New Roman" w:hAnsi="Times New Roman" w:cs="Times New Roman"/>
                <w:i/>
                <w:sz w:val="16"/>
                <w:szCs w:val="16"/>
                <w:lang w:val="bg-BG"/>
              </w:rPr>
              <w:t>за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Pr>
                <w:rFonts w:ascii="Times New Roman" w:eastAsia="Times New Roman" w:hAnsi="Times New Roman" w:cs="Times New Roman"/>
                <w:i/>
                <w:sz w:val="16"/>
                <w:szCs w:val="16"/>
                <w:lang w:val="bg-BG"/>
              </w:rPr>
              <w:t xml:space="preserve">са насочени към решаването на </w:t>
            </w:r>
            <w:r w:rsidRPr="00076E63">
              <w:rPr>
                <w:rFonts w:ascii="Times New Roman" w:eastAsia="Times New Roman" w:hAnsi="Times New Roman" w:cs="Times New Roman"/>
                <w:i/>
                <w:sz w:val="16"/>
                <w:szCs w:val="16"/>
                <w:lang w:val="bg-BG"/>
              </w:rPr>
              <w:t>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и да съответстват на действащ</w:t>
            </w:r>
            <w:r w:rsidR="0078311F">
              <w:rPr>
                <w:rFonts w:ascii="Times New Roman" w:eastAsia="Times New Roman" w:hAnsi="Times New Roman" w:cs="Times New Roman"/>
                <w:i/>
                <w:sz w:val="16"/>
                <w:szCs w:val="16"/>
                <w:lang w:val="bg-BG"/>
              </w:rPr>
              <w:t>ите</w:t>
            </w:r>
            <w:r w:rsidRPr="00076E63">
              <w:rPr>
                <w:rFonts w:ascii="Times New Roman" w:eastAsia="Times New Roman" w:hAnsi="Times New Roman" w:cs="Times New Roman"/>
                <w:i/>
                <w:sz w:val="16"/>
                <w:szCs w:val="16"/>
                <w:lang w:val="bg-BG"/>
              </w:rPr>
              <w:t xml:space="preserve"> стратегическ</w:t>
            </w:r>
            <w:r w:rsidR="0078311F">
              <w:rPr>
                <w:rFonts w:ascii="Times New Roman" w:eastAsia="Times New Roman" w:hAnsi="Times New Roman" w:cs="Times New Roman"/>
                <w:i/>
                <w:sz w:val="16"/>
                <w:szCs w:val="16"/>
                <w:lang w:val="bg-BG"/>
              </w:rPr>
              <w:t>и документи</w:t>
            </w:r>
            <w:r w:rsidRPr="00076E63">
              <w:rPr>
                <w:rFonts w:ascii="Times New Roman" w:eastAsia="Times New Roman" w:hAnsi="Times New Roman" w:cs="Times New Roman"/>
                <w:i/>
                <w:sz w:val="16"/>
                <w:szCs w:val="16"/>
                <w:lang w:val="bg-BG"/>
              </w:rPr>
              <w:t>.</w:t>
            </w:r>
          </w:p>
        </w:tc>
      </w:tr>
      <w:tr w:rsidR="00076E63" w:rsidRPr="003C124D" w14:paraId="70468BFA" w14:textId="77777777" w:rsidTr="00C93DF1">
        <w:tc>
          <w:tcPr>
            <w:tcW w:w="10266" w:type="dxa"/>
            <w:gridSpan w:val="3"/>
          </w:tcPr>
          <w:p w14:paraId="73797BAF" w14:textId="212309C2" w:rsidR="00076E63" w:rsidRPr="00076E63" w:rsidRDefault="00076E63" w:rsidP="00076E63">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 xml:space="preserve">3. </w:t>
            </w:r>
            <w:r w:rsidR="007108A0">
              <w:rPr>
                <w:rFonts w:ascii="Times New Roman" w:eastAsia="Times New Roman" w:hAnsi="Times New Roman" w:cs="Times New Roman"/>
                <w:b/>
                <w:sz w:val="24"/>
                <w:szCs w:val="24"/>
                <w:lang w:val="bg-BG"/>
              </w:rPr>
              <w:t>З</w:t>
            </w:r>
            <w:r w:rsidRPr="00076E63">
              <w:rPr>
                <w:rFonts w:ascii="Times New Roman" w:eastAsia="Times New Roman" w:hAnsi="Times New Roman" w:cs="Times New Roman"/>
                <w:b/>
                <w:sz w:val="24"/>
                <w:szCs w:val="24"/>
                <w:lang w:val="bg-BG"/>
              </w:rPr>
              <w:t>а</w:t>
            </w:r>
            <w:r w:rsidR="00E653D3">
              <w:rPr>
                <w:rFonts w:ascii="Times New Roman" w:eastAsia="Times New Roman" w:hAnsi="Times New Roman" w:cs="Times New Roman"/>
                <w:b/>
                <w:sz w:val="24"/>
                <w:szCs w:val="24"/>
                <w:lang w:val="bg-BG"/>
              </w:rPr>
              <w:t>интересовани</w:t>
            </w:r>
            <w:r w:rsidRPr="00076E63">
              <w:rPr>
                <w:rFonts w:ascii="Times New Roman" w:eastAsia="Times New Roman" w:hAnsi="Times New Roman" w:cs="Times New Roman"/>
                <w:b/>
                <w:sz w:val="24"/>
                <w:szCs w:val="24"/>
                <w:lang w:val="bg-BG"/>
              </w:rPr>
              <w:t xml:space="preserve"> страни: </w:t>
            </w:r>
          </w:p>
          <w:p w14:paraId="584D1EAD" w14:textId="65E14D30" w:rsidR="00F62598" w:rsidRPr="00F62598" w:rsidRDefault="00F62598" w:rsidP="00F62598">
            <w:pPr>
              <w:spacing w:before="120" w:after="120" w:line="240" w:lineRule="auto"/>
              <w:jc w:val="both"/>
              <w:rPr>
                <w:rFonts w:ascii="Times New Roman" w:eastAsia="Times New Roman" w:hAnsi="Times New Roman" w:cs="Times New Roman"/>
                <w:b/>
                <w:sz w:val="24"/>
                <w:szCs w:val="24"/>
                <w:u w:val="single"/>
                <w:lang w:val="bg-BG"/>
              </w:rPr>
            </w:pPr>
            <w:r w:rsidRPr="00F62598">
              <w:rPr>
                <w:rFonts w:ascii="Times New Roman" w:eastAsia="Times New Roman" w:hAnsi="Times New Roman" w:cs="Times New Roman"/>
                <w:b/>
                <w:sz w:val="24"/>
                <w:szCs w:val="24"/>
                <w:u w:val="single"/>
                <w:lang w:val="bg-BG"/>
              </w:rPr>
              <w:t xml:space="preserve">3.1. </w:t>
            </w:r>
            <w:r w:rsidR="003501A6">
              <w:rPr>
                <w:rFonts w:ascii="Times New Roman" w:eastAsia="Times New Roman" w:hAnsi="Times New Roman" w:cs="Times New Roman"/>
                <w:b/>
                <w:sz w:val="24"/>
                <w:szCs w:val="24"/>
                <w:u w:val="single"/>
                <w:lang w:val="bg-BG"/>
              </w:rPr>
              <w:t>По Проблем 1:</w:t>
            </w:r>
          </w:p>
          <w:p w14:paraId="10824A1F" w14:textId="001DB771" w:rsidR="00F62598" w:rsidRPr="007A5971" w:rsidRDefault="00F62598" w:rsidP="00940443">
            <w:pPr>
              <w:numPr>
                <w:ilvl w:val="0"/>
                <w:numId w:val="12"/>
              </w:numPr>
              <w:spacing w:after="0" w:line="240" w:lineRule="auto"/>
              <w:contextualSpacing/>
              <w:jc w:val="both"/>
              <w:rPr>
                <w:rFonts w:ascii="Times New Roman" w:eastAsia="Times New Roman" w:hAnsi="Times New Roman" w:cs="Times New Roman"/>
                <w:b/>
                <w:sz w:val="24"/>
                <w:szCs w:val="24"/>
                <w:lang w:val="bg-BG"/>
              </w:rPr>
            </w:pPr>
            <w:r w:rsidRPr="007A5971">
              <w:rPr>
                <w:rFonts w:ascii="Times New Roman" w:eastAsia="Times New Roman" w:hAnsi="Times New Roman" w:cs="Times New Roman"/>
                <w:b/>
                <w:sz w:val="24"/>
                <w:szCs w:val="24"/>
                <w:lang w:val="bg-BG"/>
              </w:rPr>
              <w:t>4-те организации за оползотворяване на</w:t>
            </w:r>
            <w:r w:rsidR="00DA6395" w:rsidRPr="007A5971">
              <w:rPr>
                <w:rFonts w:ascii="Times New Roman" w:eastAsia="Times New Roman" w:hAnsi="Times New Roman" w:cs="Times New Roman"/>
                <w:b/>
                <w:sz w:val="24"/>
                <w:szCs w:val="24"/>
                <w:lang w:val="bg-BG"/>
              </w:rPr>
              <w:t xml:space="preserve"> ИУЕЕО</w:t>
            </w:r>
            <w:r w:rsidRPr="007A5971">
              <w:rPr>
                <w:rFonts w:ascii="Times New Roman" w:eastAsia="Times New Roman" w:hAnsi="Times New Roman" w:cs="Times New Roman"/>
                <w:b/>
                <w:sz w:val="24"/>
                <w:szCs w:val="24"/>
                <w:lang w:val="bg-BG"/>
              </w:rPr>
              <w:t>:</w:t>
            </w:r>
          </w:p>
          <w:p w14:paraId="0F8AA81A" w14:textId="3395ADFB" w:rsidR="00F62598" w:rsidRPr="007A5971" w:rsidRDefault="00F62598" w:rsidP="00940443">
            <w:pPr>
              <w:pStyle w:val="ListParagraph"/>
              <w:numPr>
                <w:ilvl w:val="0"/>
                <w:numId w:val="12"/>
              </w:numPr>
              <w:spacing w:after="0" w:line="240" w:lineRule="auto"/>
              <w:jc w:val="both"/>
              <w:rPr>
                <w:rFonts w:ascii="Times New Roman" w:eastAsia="Times New Roman" w:hAnsi="Times New Roman" w:cs="Times New Roman"/>
                <w:b/>
                <w:sz w:val="24"/>
                <w:szCs w:val="24"/>
                <w:lang w:val="bg-BG"/>
              </w:rPr>
            </w:pPr>
            <w:r w:rsidRPr="007A5971">
              <w:rPr>
                <w:rFonts w:ascii="Times New Roman" w:eastAsia="Times New Roman" w:hAnsi="Times New Roman" w:cs="Times New Roman"/>
                <w:b/>
                <w:sz w:val="24"/>
                <w:szCs w:val="24"/>
                <w:lang w:val="bg-BG"/>
              </w:rPr>
              <w:t>лицата, които пускат на пазара</w:t>
            </w:r>
            <w:r w:rsidR="00DA6395" w:rsidRPr="007A5971">
              <w:rPr>
                <w:rFonts w:ascii="Times New Roman" w:eastAsia="Times New Roman" w:hAnsi="Times New Roman" w:cs="Times New Roman"/>
                <w:b/>
                <w:sz w:val="24"/>
                <w:szCs w:val="24"/>
                <w:lang w:val="bg-BG"/>
              </w:rPr>
              <w:t xml:space="preserve"> електрическо и електронно оборудване</w:t>
            </w:r>
          </w:p>
          <w:p w14:paraId="56B54C27" w14:textId="6CB88AA3" w:rsidR="00F62598" w:rsidRPr="007A5971" w:rsidRDefault="00DA6395" w:rsidP="00940443">
            <w:pPr>
              <w:pStyle w:val="ListParagraph"/>
              <w:numPr>
                <w:ilvl w:val="0"/>
                <w:numId w:val="12"/>
              </w:numPr>
              <w:spacing w:after="0" w:line="240" w:lineRule="auto"/>
              <w:jc w:val="both"/>
              <w:rPr>
                <w:rFonts w:ascii="Times New Roman" w:eastAsia="Times New Roman" w:hAnsi="Times New Roman" w:cs="Times New Roman"/>
                <w:b/>
                <w:sz w:val="24"/>
                <w:szCs w:val="24"/>
                <w:lang w:val="bg-BG"/>
              </w:rPr>
            </w:pPr>
            <w:r w:rsidRPr="007A5971">
              <w:rPr>
                <w:rFonts w:ascii="Times New Roman" w:eastAsia="Times New Roman" w:hAnsi="Times New Roman" w:cs="Times New Roman"/>
                <w:b/>
                <w:sz w:val="24"/>
                <w:szCs w:val="24"/>
                <w:lang w:val="bg-BG"/>
              </w:rPr>
              <w:t>г</w:t>
            </w:r>
            <w:r w:rsidR="00F62598" w:rsidRPr="007A5971">
              <w:rPr>
                <w:rFonts w:ascii="Times New Roman" w:eastAsia="Times New Roman" w:hAnsi="Times New Roman" w:cs="Times New Roman"/>
                <w:b/>
                <w:sz w:val="24"/>
                <w:szCs w:val="24"/>
                <w:lang w:val="bg-BG"/>
              </w:rPr>
              <w:t>раждани:</w:t>
            </w:r>
          </w:p>
          <w:p w14:paraId="11FC362A" w14:textId="6822895A" w:rsidR="00F62598" w:rsidRPr="007A5971" w:rsidRDefault="00F62598" w:rsidP="00940443">
            <w:pPr>
              <w:pStyle w:val="ListParagraph"/>
              <w:numPr>
                <w:ilvl w:val="0"/>
                <w:numId w:val="12"/>
              </w:numPr>
              <w:spacing w:after="0" w:line="240" w:lineRule="auto"/>
              <w:jc w:val="both"/>
              <w:rPr>
                <w:rFonts w:ascii="Times New Roman" w:eastAsia="Times New Roman" w:hAnsi="Times New Roman" w:cs="Times New Roman"/>
                <w:b/>
                <w:sz w:val="24"/>
                <w:szCs w:val="24"/>
                <w:lang w:val="bg-BG"/>
              </w:rPr>
            </w:pPr>
            <w:r w:rsidRPr="007A5971">
              <w:rPr>
                <w:rFonts w:ascii="Times New Roman" w:eastAsia="Times New Roman" w:hAnsi="Times New Roman" w:cs="Times New Roman"/>
                <w:b/>
                <w:sz w:val="24"/>
                <w:szCs w:val="24"/>
                <w:lang w:val="bg-BG"/>
              </w:rPr>
              <w:t>Общини:</w:t>
            </w:r>
          </w:p>
          <w:p w14:paraId="3346C608" w14:textId="77777777" w:rsidR="00DF0C26" w:rsidRPr="007A5971" w:rsidRDefault="00F62598" w:rsidP="00DA6395">
            <w:pPr>
              <w:pStyle w:val="ListParagraph"/>
              <w:numPr>
                <w:ilvl w:val="0"/>
                <w:numId w:val="12"/>
              </w:numPr>
              <w:spacing w:before="120" w:after="120" w:line="240" w:lineRule="auto"/>
              <w:jc w:val="both"/>
              <w:rPr>
                <w:rFonts w:ascii="Times New Roman" w:eastAsia="Times New Roman" w:hAnsi="Times New Roman" w:cs="Times New Roman"/>
                <w:sz w:val="24"/>
                <w:szCs w:val="24"/>
                <w:lang w:val="bg-BG"/>
              </w:rPr>
            </w:pPr>
            <w:r w:rsidRPr="007A5971">
              <w:rPr>
                <w:rFonts w:ascii="Times New Roman" w:eastAsia="Times New Roman" w:hAnsi="Times New Roman" w:cs="Times New Roman"/>
                <w:b/>
                <w:sz w:val="24"/>
                <w:szCs w:val="24"/>
                <w:lang w:val="bg-BG"/>
              </w:rPr>
              <w:t>ПУДООС</w:t>
            </w:r>
            <w:r w:rsidR="00DF0C26" w:rsidRPr="007A5971">
              <w:rPr>
                <w:rFonts w:ascii="Times New Roman" w:eastAsia="Times New Roman" w:hAnsi="Times New Roman" w:cs="Times New Roman"/>
                <w:sz w:val="24"/>
                <w:szCs w:val="24"/>
                <w:lang w:val="bg-BG"/>
              </w:rPr>
              <w:t>:</w:t>
            </w:r>
          </w:p>
          <w:p w14:paraId="755DF7F9" w14:textId="56654B89" w:rsidR="00E63DC6" w:rsidRPr="007A5971" w:rsidRDefault="00DF0C26" w:rsidP="00BD54F1">
            <w:pPr>
              <w:pStyle w:val="ListParagraph"/>
              <w:numPr>
                <w:ilvl w:val="0"/>
                <w:numId w:val="12"/>
              </w:numPr>
              <w:spacing w:before="120" w:after="120" w:line="240" w:lineRule="auto"/>
              <w:jc w:val="both"/>
              <w:rPr>
                <w:rFonts w:ascii="Times New Roman" w:eastAsia="Times New Roman" w:hAnsi="Times New Roman" w:cs="Times New Roman"/>
                <w:sz w:val="24"/>
                <w:szCs w:val="24"/>
                <w:lang w:val="bg-BG"/>
              </w:rPr>
            </w:pPr>
            <w:r w:rsidRPr="007A5971">
              <w:rPr>
                <w:rFonts w:ascii="Times New Roman" w:eastAsia="Times New Roman" w:hAnsi="Times New Roman" w:cs="Times New Roman"/>
                <w:b/>
                <w:sz w:val="24"/>
                <w:szCs w:val="24"/>
                <w:lang w:val="bg-BG"/>
              </w:rPr>
              <w:t>МОСВ</w:t>
            </w:r>
            <w:r w:rsidRPr="007A5971">
              <w:rPr>
                <w:rFonts w:ascii="Times New Roman" w:eastAsia="Times New Roman" w:hAnsi="Times New Roman" w:cs="Times New Roman"/>
                <w:sz w:val="24"/>
                <w:szCs w:val="24"/>
                <w:lang w:val="bg-BG"/>
              </w:rPr>
              <w:t>:</w:t>
            </w:r>
          </w:p>
          <w:p w14:paraId="13103825" w14:textId="62D3E0A5" w:rsidR="00076E63" w:rsidRPr="00076E63" w:rsidRDefault="00076E63" w:rsidP="009D4DA5">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Посочете всички потенциални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w:t>
            </w:r>
            <w:r w:rsidR="0060089B">
              <w:rPr>
                <w:rFonts w:ascii="Times New Roman" w:eastAsia="Times New Roman" w:hAnsi="Times New Roman" w:cs="Times New Roman"/>
                <w:i/>
                <w:sz w:val="16"/>
                <w:szCs w:val="16"/>
                <w:lang w:val="bg-BG"/>
              </w:rPr>
              <w:t>страни/</w:t>
            </w:r>
            <w:r w:rsidR="0060089B" w:rsidRPr="0060089B">
              <w:rPr>
                <w:rFonts w:ascii="Times New Roman" w:eastAsia="Times New Roman" w:hAnsi="Times New Roman" w:cs="Times New Roman"/>
                <w:i/>
                <w:sz w:val="16"/>
                <w:szCs w:val="16"/>
                <w:lang w:val="bg-BG"/>
              </w:rPr>
              <w:t>груп</w:t>
            </w:r>
            <w:r w:rsidR="0060089B">
              <w:rPr>
                <w:rFonts w:ascii="Times New Roman" w:eastAsia="Times New Roman" w:hAnsi="Times New Roman" w:cs="Times New Roman"/>
                <w:i/>
                <w:sz w:val="16"/>
                <w:szCs w:val="16"/>
                <w:lang w:val="bg-BG"/>
              </w:rPr>
              <w:t>и</w:t>
            </w:r>
            <w:r w:rsidR="0060089B" w:rsidRPr="0060089B">
              <w:rPr>
                <w:rFonts w:ascii="Times New Roman" w:eastAsia="Times New Roman" w:hAnsi="Times New Roman" w:cs="Times New Roman"/>
                <w:i/>
                <w:sz w:val="16"/>
                <w:szCs w:val="16"/>
                <w:lang w:val="bg-BG"/>
              </w:rPr>
              <w:t xml:space="preserve"> заинтересовани страни </w:t>
            </w:r>
            <w:r w:rsidRPr="00076E63">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Pr>
                <w:rFonts w:ascii="Times New Roman" w:eastAsia="Times New Roman" w:hAnsi="Times New Roman" w:cs="Times New Roman"/>
                <w:i/>
                <w:sz w:val="16"/>
                <w:szCs w:val="16"/>
                <w:lang w:val="bg-BG"/>
              </w:rPr>
              <w:t xml:space="preserve"> и/или </w:t>
            </w:r>
            <w:r w:rsidRPr="00076E63">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Pr>
                <w:rFonts w:ascii="Times New Roman" w:eastAsia="Times New Roman" w:hAnsi="Times New Roman" w:cs="Times New Roman"/>
                <w:i/>
                <w:sz w:val="16"/>
                <w:szCs w:val="16"/>
                <w:lang w:val="bg-BG"/>
              </w:rPr>
              <w:t>я</w:t>
            </w:r>
            <w:r w:rsidRPr="00076E63">
              <w:rPr>
                <w:rFonts w:ascii="Times New Roman" w:eastAsia="Times New Roman" w:hAnsi="Times New Roman" w:cs="Times New Roman"/>
                <w:i/>
                <w:sz w:val="16"/>
                <w:szCs w:val="16"/>
                <w:lang w:val="bg-BG"/>
              </w:rPr>
              <w:t>т</w:t>
            </w:r>
            <w:r w:rsidR="0060089B">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ще окаж</w:t>
            </w:r>
            <w:r w:rsidR="0060089B">
              <w:rPr>
                <w:rFonts w:ascii="Times New Roman" w:eastAsia="Times New Roman" w:hAnsi="Times New Roman" w:cs="Times New Roman"/>
                <w:i/>
                <w:sz w:val="16"/>
                <w:szCs w:val="16"/>
                <w:lang w:val="bg-BG"/>
              </w:rPr>
              <w:t>ат</w:t>
            </w:r>
            <w:r w:rsidRPr="00076E63">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00C93DF1">
        <w:tc>
          <w:tcPr>
            <w:tcW w:w="10266" w:type="dxa"/>
            <w:gridSpan w:val="3"/>
          </w:tcPr>
          <w:p w14:paraId="5D74D9E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4. Варианти на действие. Анализ на въздействията:</w:t>
            </w:r>
          </w:p>
        </w:tc>
      </w:tr>
      <w:tr w:rsidR="00042D08" w:rsidRPr="00076E63" w14:paraId="43D33DAE" w14:textId="77777777" w:rsidTr="00C93DF1">
        <w:tc>
          <w:tcPr>
            <w:tcW w:w="10266" w:type="dxa"/>
            <w:gridSpan w:val="3"/>
          </w:tcPr>
          <w:p w14:paraId="33A10896" w14:textId="4405BCD8" w:rsidR="00042D08" w:rsidRPr="00C93DF1" w:rsidRDefault="00042D08">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4.1. По проблем 1:</w:t>
            </w:r>
            <w:r w:rsidR="008067A3">
              <w:t xml:space="preserve"> </w:t>
            </w:r>
            <w:r w:rsidR="00DA6395" w:rsidRPr="000D4446">
              <w:rPr>
                <w:rFonts w:ascii="Times New Roman" w:eastAsia="Times New Roman" w:hAnsi="Times New Roman" w:cs="Times New Roman"/>
                <w:b/>
                <w:i/>
                <w:sz w:val="24"/>
                <w:szCs w:val="24"/>
                <w:lang w:val="bg-BG"/>
              </w:rPr>
              <w:t>„</w:t>
            </w:r>
            <w:r w:rsidR="00DA6395">
              <w:rPr>
                <w:rFonts w:ascii="Times New Roman" w:eastAsia="Times New Roman" w:hAnsi="Times New Roman" w:cs="Times New Roman"/>
                <w:b/>
                <w:i/>
                <w:sz w:val="24"/>
                <w:szCs w:val="24"/>
                <w:lang w:val="bg-BG"/>
              </w:rPr>
              <w:t>Високи размери на дължимите продуктови такси за пуснатото на пазара електрическо и електронно оборудване</w:t>
            </w:r>
            <w:r w:rsidR="00DA6395" w:rsidRPr="000D4446">
              <w:rPr>
                <w:rFonts w:ascii="Times New Roman" w:eastAsia="Times New Roman" w:hAnsi="Times New Roman" w:cs="Times New Roman"/>
                <w:b/>
                <w:i/>
                <w:sz w:val="24"/>
                <w:szCs w:val="24"/>
                <w:lang w:val="bg-BG"/>
              </w:rPr>
              <w:t>“.</w:t>
            </w:r>
          </w:p>
        </w:tc>
      </w:tr>
      <w:tr w:rsidR="00076E63" w:rsidRPr="003C124D" w14:paraId="0DBF4389" w14:textId="77777777" w:rsidTr="00C93DF1">
        <w:tc>
          <w:tcPr>
            <w:tcW w:w="10266" w:type="dxa"/>
            <w:gridSpan w:val="3"/>
          </w:tcPr>
          <w:p w14:paraId="19F2183A" w14:textId="40894531"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042D08"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77981EA4"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5E4264FF" w14:textId="053A60F0" w:rsidR="00E12514" w:rsidRDefault="00E12514" w:rsidP="00E12514">
            <w:pPr>
              <w:pStyle w:val="NormalWeb"/>
              <w:spacing w:before="0" w:beforeAutospacing="0" w:after="0" w:afterAutospacing="0"/>
              <w:ind w:firstLine="300"/>
              <w:jc w:val="both"/>
            </w:pPr>
            <w:r>
              <w:t xml:space="preserve">Този вариант може да бъде обоснован с необходимостта от запазване на стабилността и предвидимостта на действащата система за управление на отпадъците от електрическо и електронно оборудване. Съществуващите нива на продуктовите такси осигуряват </w:t>
            </w:r>
            <w:r w:rsidR="00D978EA">
              <w:t>достатъчен финансов ресурс</w:t>
            </w:r>
            <w:r>
              <w:t xml:space="preserve">, което е от ключово значение за събиране и рециклиране </w:t>
            </w:r>
            <w:r w:rsidR="00D978EA">
              <w:t xml:space="preserve">на отпадъци от излязло от употреба електрическо и електронно оборудване </w:t>
            </w:r>
            <w:r>
              <w:t>и за изпълнение на на</w:t>
            </w:r>
            <w:r w:rsidR="00D978EA">
              <w:t>ционалните и европейските цели.</w:t>
            </w:r>
          </w:p>
          <w:p w14:paraId="37759AA7" w14:textId="2294A66E" w:rsidR="00E12514" w:rsidRDefault="00D978EA" w:rsidP="00D978EA">
            <w:pPr>
              <w:pStyle w:val="NormalWeb"/>
              <w:spacing w:before="0" w:beforeAutospacing="0" w:after="0" w:afterAutospacing="0"/>
              <w:ind w:firstLine="300"/>
              <w:jc w:val="both"/>
            </w:pPr>
            <w:r>
              <w:t>П</w:t>
            </w:r>
            <w:r w:rsidR="00E12514">
              <w:t>о-висок</w:t>
            </w:r>
            <w:r>
              <w:t>ите продуктови такси</w:t>
            </w:r>
            <w:r w:rsidR="00E12514">
              <w:t xml:space="preserve"> стимулират лицата, пускащи продукти на пазара, да участват в колективни системи или да изпълняват задълженията си индивидуално. По този начин се ограничава рискът от избягване на отговорност и се гарантира прилагането на принципа „замърсителят плаща“. Допълнително, запазването на текущите равнища на таксите създава стимул за подобряване на екодизайна и удължаване на жизнения цикъл на продуктите, което е в съответствие с целите на кръговата икономика.</w:t>
            </w:r>
            <w:r>
              <w:t xml:space="preserve"> </w:t>
            </w:r>
            <w:r w:rsidR="00E12514">
              <w:t>В този смисъл вариантът осигурява висока степен на регулаторна стабилност, макар и за сметка на ограничена възможност за оптимизиране на икономическата тежест за бизнеса.</w:t>
            </w:r>
          </w:p>
          <w:p w14:paraId="5F44EA87" w14:textId="77777777" w:rsidR="00C615B4" w:rsidRPr="00C615B4" w:rsidRDefault="00C615B4" w:rsidP="00C615B4">
            <w:pPr>
              <w:pStyle w:val="NormalWeb"/>
              <w:spacing w:after="0"/>
              <w:ind w:firstLine="300"/>
              <w:jc w:val="both"/>
              <w:rPr>
                <w:b/>
              </w:rPr>
            </w:pPr>
            <w:r w:rsidRPr="00C615B4">
              <w:rPr>
                <w:b/>
              </w:rPr>
              <w:t>Положителни (икономически/социални/екологични) въздействия:</w:t>
            </w:r>
          </w:p>
          <w:p w14:paraId="71E63586" w14:textId="580D877A" w:rsidR="00C615B4" w:rsidRPr="00C615B4" w:rsidRDefault="00C615B4" w:rsidP="00C615B4">
            <w:pPr>
              <w:pStyle w:val="NormalWeb"/>
              <w:numPr>
                <w:ilvl w:val="2"/>
                <w:numId w:val="24"/>
              </w:numPr>
              <w:spacing w:before="0" w:beforeAutospacing="0" w:after="0" w:afterAutospacing="0"/>
              <w:ind w:left="725" w:hanging="425"/>
              <w:jc w:val="both"/>
              <w:rPr>
                <w:b/>
              </w:rPr>
            </w:pPr>
            <w:r w:rsidRPr="00C615B4">
              <w:rPr>
                <w:b/>
              </w:rPr>
              <w:t>4-те организации за оползотворяване на ИУЕЕО</w:t>
            </w:r>
          </w:p>
          <w:p w14:paraId="27A058E2" w14:textId="77777777" w:rsidR="00C615B4" w:rsidRDefault="00C615B4" w:rsidP="00C615B4">
            <w:pPr>
              <w:pStyle w:val="NormalWeb"/>
              <w:spacing w:before="0" w:beforeAutospacing="0" w:after="0" w:afterAutospacing="0"/>
              <w:ind w:firstLine="300"/>
              <w:jc w:val="both"/>
            </w:pPr>
            <w:r>
              <w:t>-</w:t>
            </w:r>
            <w:r>
              <w:tab/>
              <w:t xml:space="preserve">Финансова стабилност и предвидимост </w:t>
            </w:r>
          </w:p>
          <w:p w14:paraId="4D7E8BAD" w14:textId="77777777" w:rsidR="00C615B4" w:rsidRDefault="00C615B4" w:rsidP="00C615B4">
            <w:pPr>
              <w:pStyle w:val="NormalWeb"/>
              <w:spacing w:before="0" w:beforeAutospacing="0" w:after="0" w:afterAutospacing="0"/>
              <w:ind w:firstLine="300"/>
              <w:jc w:val="both"/>
            </w:pPr>
            <w:r>
              <w:t>-</w:t>
            </w:r>
            <w:r>
              <w:tab/>
              <w:t xml:space="preserve">Възможност за дългосрочно планиране </w:t>
            </w:r>
          </w:p>
          <w:p w14:paraId="32E06B04" w14:textId="6F71B2C4" w:rsidR="00C615B4" w:rsidRDefault="00C615B4" w:rsidP="00C615B4">
            <w:pPr>
              <w:pStyle w:val="NormalWeb"/>
              <w:spacing w:before="0" w:beforeAutospacing="0" w:after="0" w:afterAutospacing="0"/>
              <w:ind w:firstLine="300"/>
              <w:jc w:val="both"/>
            </w:pPr>
            <w:r>
              <w:t>-</w:t>
            </w:r>
            <w:r>
              <w:tab/>
              <w:t>Запазване на изградените системи за събиране и рециклиране</w:t>
            </w:r>
          </w:p>
          <w:p w14:paraId="77E40C66" w14:textId="77777777" w:rsidR="00C615B4" w:rsidRDefault="00C615B4" w:rsidP="00C615B4">
            <w:pPr>
              <w:pStyle w:val="NormalWeb"/>
              <w:spacing w:before="0" w:beforeAutospacing="0" w:after="0" w:afterAutospacing="0"/>
              <w:ind w:firstLine="300"/>
              <w:jc w:val="both"/>
            </w:pPr>
          </w:p>
          <w:p w14:paraId="6676512B" w14:textId="77777777" w:rsidR="00C615B4" w:rsidRPr="00C615B4" w:rsidRDefault="00C615B4" w:rsidP="00C615B4">
            <w:pPr>
              <w:pStyle w:val="NormalWeb"/>
              <w:spacing w:before="0" w:beforeAutospacing="0" w:after="0" w:afterAutospacing="0"/>
              <w:ind w:firstLine="300"/>
              <w:jc w:val="both"/>
              <w:rPr>
                <w:b/>
              </w:rPr>
            </w:pPr>
            <w:r w:rsidRPr="00C615B4">
              <w:rPr>
                <w:b/>
              </w:rPr>
              <w:t>•</w:t>
            </w:r>
            <w:r w:rsidRPr="00C615B4">
              <w:rPr>
                <w:b/>
              </w:rPr>
              <w:tab/>
              <w:t>лицата, които пускат на пазара електрическо и електронно оборудване</w:t>
            </w:r>
          </w:p>
          <w:p w14:paraId="6414BADB" w14:textId="77777777" w:rsidR="00C615B4" w:rsidRDefault="00C615B4" w:rsidP="00C615B4">
            <w:pPr>
              <w:pStyle w:val="NormalWeb"/>
              <w:spacing w:before="0" w:beforeAutospacing="0" w:after="0" w:afterAutospacing="0"/>
              <w:ind w:firstLine="300"/>
              <w:jc w:val="both"/>
            </w:pPr>
            <w:r>
              <w:t>-</w:t>
            </w:r>
            <w:r>
              <w:tab/>
              <w:t>Предвидими разходи и ясна регулаторна рамка</w:t>
            </w:r>
          </w:p>
          <w:p w14:paraId="0A515467" w14:textId="77777777" w:rsidR="00C615B4" w:rsidRDefault="00C615B4" w:rsidP="00C615B4">
            <w:pPr>
              <w:pStyle w:val="NormalWeb"/>
              <w:spacing w:before="0" w:beforeAutospacing="0" w:after="0" w:afterAutospacing="0"/>
              <w:ind w:firstLine="300"/>
              <w:jc w:val="both"/>
            </w:pPr>
            <w:r>
              <w:t>-</w:t>
            </w:r>
            <w:r>
              <w:tab/>
              <w:t>По-лесно финансово планиране</w:t>
            </w:r>
          </w:p>
          <w:p w14:paraId="6D1FBC05" w14:textId="6B03BD6D" w:rsidR="00C615B4" w:rsidRDefault="00C615B4" w:rsidP="00C615B4">
            <w:pPr>
              <w:pStyle w:val="NormalWeb"/>
              <w:spacing w:before="0" w:beforeAutospacing="0" w:after="0" w:afterAutospacing="0"/>
              <w:ind w:firstLine="300"/>
              <w:jc w:val="both"/>
            </w:pPr>
            <w:r>
              <w:t>-</w:t>
            </w:r>
            <w:r>
              <w:tab/>
              <w:t>Запазване на текущите бизнес модели</w:t>
            </w:r>
          </w:p>
          <w:p w14:paraId="0986E8C6" w14:textId="77777777" w:rsidR="00C615B4" w:rsidRDefault="00C615B4" w:rsidP="00C615B4">
            <w:pPr>
              <w:pStyle w:val="NormalWeb"/>
              <w:spacing w:before="0" w:beforeAutospacing="0" w:after="0" w:afterAutospacing="0"/>
              <w:ind w:firstLine="300"/>
              <w:jc w:val="both"/>
            </w:pPr>
          </w:p>
          <w:p w14:paraId="757D0C64" w14:textId="77777777" w:rsidR="00C615B4" w:rsidRPr="00C615B4" w:rsidRDefault="00C615B4" w:rsidP="00C615B4">
            <w:pPr>
              <w:pStyle w:val="NormalWeb"/>
              <w:spacing w:before="0" w:beforeAutospacing="0" w:after="0" w:afterAutospacing="0"/>
              <w:ind w:firstLine="300"/>
              <w:jc w:val="both"/>
              <w:rPr>
                <w:b/>
              </w:rPr>
            </w:pPr>
            <w:r w:rsidRPr="00C615B4">
              <w:rPr>
                <w:b/>
              </w:rPr>
              <w:t>•</w:t>
            </w:r>
            <w:r w:rsidRPr="00C615B4">
              <w:rPr>
                <w:b/>
              </w:rPr>
              <w:tab/>
              <w:t>граждани:</w:t>
            </w:r>
          </w:p>
          <w:p w14:paraId="59514CD7" w14:textId="77777777" w:rsidR="00C615B4" w:rsidRDefault="00C615B4" w:rsidP="00C615B4">
            <w:pPr>
              <w:pStyle w:val="NormalWeb"/>
              <w:spacing w:before="0" w:beforeAutospacing="0" w:after="0" w:afterAutospacing="0"/>
              <w:ind w:firstLine="300"/>
              <w:jc w:val="both"/>
            </w:pPr>
            <w:r>
              <w:t>-</w:t>
            </w:r>
            <w:r>
              <w:tab/>
              <w:t>Запазване на достъпната система за предаване на ИУЕЕО</w:t>
            </w:r>
          </w:p>
          <w:p w14:paraId="1EFDBF55" w14:textId="77777777" w:rsidR="00C615B4" w:rsidRDefault="00C615B4" w:rsidP="00C615B4">
            <w:pPr>
              <w:pStyle w:val="NormalWeb"/>
              <w:spacing w:before="0" w:beforeAutospacing="0" w:after="0" w:afterAutospacing="0"/>
              <w:ind w:firstLine="300"/>
              <w:jc w:val="both"/>
            </w:pPr>
            <w:r>
              <w:t>-</w:t>
            </w:r>
            <w:r>
              <w:tab/>
              <w:t>Ясни правила и удобство при разделното събиране</w:t>
            </w:r>
          </w:p>
          <w:p w14:paraId="07A1D096" w14:textId="6797179C" w:rsidR="00C615B4" w:rsidRDefault="00C615B4" w:rsidP="00C615B4">
            <w:pPr>
              <w:pStyle w:val="NormalWeb"/>
              <w:spacing w:before="0" w:beforeAutospacing="0" w:after="0" w:afterAutospacing="0"/>
              <w:ind w:firstLine="300"/>
              <w:jc w:val="both"/>
            </w:pPr>
            <w:r>
              <w:t>-</w:t>
            </w:r>
            <w:r>
              <w:tab/>
              <w:t>По-нисък риск за околната среда спрямо нестабилна система</w:t>
            </w:r>
          </w:p>
          <w:p w14:paraId="2A71B834" w14:textId="77777777" w:rsidR="00C615B4" w:rsidRDefault="00C615B4" w:rsidP="00C615B4">
            <w:pPr>
              <w:pStyle w:val="NormalWeb"/>
              <w:spacing w:before="0" w:beforeAutospacing="0" w:after="0" w:afterAutospacing="0"/>
              <w:ind w:firstLine="300"/>
              <w:jc w:val="both"/>
            </w:pPr>
          </w:p>
          <w:p w14:paraId="65CBC083" w14:textId="77777777" w:rsidR="00C615B4" w:rsidRPr="00F346DE" w:rsidRDefault="00C615B4" w:rsidP="00F346DE">
            <w:pPr>
              <w:pStyle w:val="NormalWeb"/>
              <w:spacing w:before="0" w:beforeAutospacing="0" w:after="0" w:afterAutospacing="0"/>
              <w:ind w:firstLine="300"/>
              <w:jc w:val="both"/>
              <w:rPr>
                <w:b/>
              </w:rPr>
            </w:pPr>
            <w:r w:rsidRPr="00F346DE">
              <w:rPr>
                <w:b/>
              </w:rPr>
              <w:t>•</w:t>
            </w:r>
            <w:r w:rsidRPr="00F346DE">
              <w:rPr>
                <w:b/>
              </w:rPr>
              <w:tab/>
              <w:t>Общини:</w:t>
            </w:r>
          </w:p>
          <w:p w14:paraId="54A5605E" w14:textId="77777777" w:rsidR="00C615B4" w:rsidRDefault="00C615B4" w:rsidP="00F346DE">
            <w:pPr>
              <w:pStyle w:val="NormalWeb"/>
              <w:spacing w:before="0" w:beforeAutospacing="0" w:after="0" w:afterAutospacing="0"/>
              <w:ind w:firstLine="300"/>
              <w:jc w:val="both"/>
            </w:pPr>
            <w:r>
              <w:t>-</w:t>
            </w:r>
            <w:r>
              <w:tab/>
              <w:t>Стабилно сътрудничество с организациите</w:t>
            </w:r>
          </w:p>
          <w:p w14:paraId="676EDCDF" w14:textId="77777777" w:rsidR="00C615B4" w:rsidRDefault="00C615B4" w:rsidP="00F346DE">
            <w:pPr>
              <w:pStyle w:val="NormalWeb"/>
              <w:spacing w:before="0" w:beforeAutospacing="0" w:after="0" w:afterAutospacing="0"/>
              <w:ind w:firstLine="300"/>
              <w:jc w:val="both"/>
            </w:pPr>
            <w:r>
              <w:t>-</w:t>
            </w:r>
            <w:r>
              <w:tab/>
              <w:t>Предвидими разходи и дейности</w:t>
            </w:r>
          </w:p>
          <w:p w14:paraId="231C5857" w14:textId="3AF3BFC9" w:rsidR="00C615B4" w:rsidRDefault="00C615B4" w:rsidP="00F346DE">
            <w:pPr>
              <w:pStyle w:val="NormalWeb"/>
              <w:spacing w:before="0" w:beforeAutospacing="0" w:after="0" w:afterAutospacing="0"/>
              <w:ind w:firstLine="300"/>
              <w:jc w:val="both"/>
            </w:pPr>
            <w:r>
              <w:t>-</w:t>
            </w:r>
            <w:r>
              <w:tab/>
              <w:t>Запазване на съществуващата инфраструктура</w:t>
            </w:r>
          </w:p>
          <w:p w14:paraId="34114B4D" w14:textId="77777777" w:rsidR="00F346DE" w:rsidRDefault="00F346DE" w:rsidP="00F346DE">
            <w:pPr>
              <w:pStyle w:val="NormalWeb"/>
              <w:spacing w:before="0" w:beforeAutospacing="0" w:after="0" w:afterAutospacing="0"/>
              <w:ind w:firstLine="300"/>
              <w:jc w:val="both"/>
            </w:pPr>
          </w:p>
          <w:p w14:paraId="1175C8B7" w14:textId="77777777" w:rsidR="00C615B4" w:rsidRPr="00F346DE" w:rsidRDefault="00C615B4" w:rsidP="00F346DE">
            <w:pPr>
              <w:pStyle w:val="NormalWeb"/>
              <w:spacing w:before="0" w:beforeAutospacing="0" w:after="0" w:afterAutospacing="0"/>
              <w:ind w:firstLine="300"/>
              <w:jc w:val="both"/>
              <w:rPr>
                <w:b/>
              </w:rPr>
            </w:pPr>
            <w:r w:rsidRPr="00F346DE">
              <w:rPr>
                <w:b/>
              </w:rPr>
              <w:t>•</w:t>
            </w:r>
            <w:r w:rsidRPr="00F346DE">
              <w:rPr>
                <w:b/>
              </w:rPr>
              <w:tab/>
              <w:t>ПУДООС:</w:t>
            </w:r>
          </w:p>
          <w:p w14:paraId="6EA1D66A" w14:textId="77777777" w:rsidR="00C615B4" w:rsidRDefault="00C615B4" w:rsidP="00F346DE">
            <w:pPr>
              <w:pStyle w:val="NormalWeb"/>
              <w:spacing w:before="0" w:beforeAutospacing="0" w:after="0" w:afterAutospacing="0"/>
              <w:ind w:firstLine="300"/>
              <w:jc w:val="both"/>
            </w:pPr>
            <w:r>
              <w:t>-</w:t>
            </w:r>
            <w:r>
              <w:tab/>
              <w:t>Стабилен поток от приходи</w:t>
            </w:r>
          </w:p>
          <w:p w14:paraId="51AB9AB7" w14:textId="77777777" w:rsidR="00C615B4" w:rsidRDefault="00C615B4" w:rsidP="00F346DE">
            <w:pPr>
              <w:pStyle w:val="NormalWeb"/>
              <w:spacing w:before="0" w:beforeAutospacing="0" w:after="0" w:afterAutospacing="0"/>
              <w:ind w:firstLine="300"/>
              <w:jc w:val="both"/>
            </w:pPr>
            <w:r>
              <w:t>-</w:t>
            </w:r>
            <w:r>
              <w:tab/>
              <w:t>Възможност за планиране на финансирането</w:t>
            </w:r>
          </w:p>
          <w:p w14:paraId="3F5B4236" w14:textId="3EDEBA87" w:rsidR="00C615B4" w:rsidRDefault="00C615B4" w:rsidP="00F346DE">
            <w:pPr>
              <w:pStyle w:val="NormalWeb"/>
              <w:spacing w:before="0" w:beforeAutospacing="0" w:after="0" w:afterAutospacing="0"/>
              <w:ind w:firstLine="300"/>
              <w:jc w:val="both"/>
            </w:pPr>
            <w:r>
              <w:t>-</w:t>
            </w:r>
            <w:r>
              <w:tab/>
              <w:t>Поддържане на текущи екологични програми</w:t>
            </w:r>
          </w:p>
          <w:p w14:paraId="01A6B3C6" w14:textId="77777777" w:rsidR="00F346DE" w:rsidRDefault="00F346DE" w:rsidP="00F346DE">
            <w:pPr>
              <w:pStyle w:val="NormalWeb"/>
              <w:spacing w:before="0" w:beforeAutospacing="0" w:after="0" w:afterAutospacing="0"/>
              <w:ind w:firstLine="300"/>
              <w:jc w:val="both"/>
            </w:pPr>
          </w:p>
          <w:p w14:paraId="2B07E264" w14:textId="77777777" w:rsidR="00C615B4" w:rsidRPr="00F346DE" w:rsidRDefault="00C615B4" w:rsidP="00F346DE">
            <w:pPr>
              <w:pStyle w:val="NormalWeb"/>
              <w:spacing w:before="0" w:beforeAutospacing="0" w:after="0" w:afterAutospacing="0"/>
              <w:ind w:firstLine="300"/>
              <w:jc w:val="both"/>
              <w:rPr>
                <w:b/>
              </w:rPr>
            </w:pPr>
            <w:r w:rsidRPr="00F346DE">
              <w:rPr>
                <w:b/>
              </w:rPr>
              <w:t>•</w:t>
            </w:r>
            <w:r w:rsidRPr="00F346DE">
              <w:rPr>
                <w:b/>
              </w:rPr>
              <w:tab/>
              <w:t xml:space="preserve">МОСВ: </w:t>
            </w:r>
          </w:p>
          <w:p w14:paraId="6884E8D2" w14:textId="77777777" w:rsidR="00C615B4" w:rsidRDefault="00C615B4" w:rsidP="00F346DE">
            <w:pPr>
              <w:pStyle w:val="NormalWeb"/>
              <w:spacing w:before="0" w:beforeAutospacing="0" w:after="0" w:afterAutospacing="0"/>
              <w:ind w:firstLine="300"/>
              <w:jc w:val="both"/>
            </w:pPr>
            <w:r>
              <w:t>-</w:t>
            </w:r>
            <w:r>
              <w:tab/>
              <w:t>Регулаторна стабилност</w:t>
            </w:r>
          </w:p>
          <w:p w14:paraId="4DE4BFF7" w14:textId="77777777" w:rsidR="00C615B4" w:rsidRDefault="00C615B4" w:rsidP="00F346DE">
            <w:pPr>
              <w:pStyle w:val="NormalWeb"/>
              <w:spacing w:before="0" w:beforeAutospacing="0" w:after="0" w:afterAutospacing="0"/>
              <w:ind w:firstLine="300"/>
              <w:jc w:val="both"/>
            </w:pPr>
            <w:r>
              <w:t>-</w:t>
            </w:r>
            <w:r>
              <w:tab/>
              <w:t>По-лесен контрол при позната система</w:t>
            </w:r>
          </w:p>
          <w:p w14:paraId="3BC1A167" w14:textId="5BA55459" w:rsidR="00144B17" w:rsidRDefault="00C615B4" w:rsidP="00F346DE">
            <w:pPr>
              <w:pStyle w:val="NormalWeb"/>
              <w:spacing w:before="0" w:beforeAutospacing="0" w:after="0" w:afterAutospacing="0"/>
              <w:ind w:firstLine="300"/>
              <w:jc w:val="both"/>
            </w:pPr>
            <w:r>
              <w:t>-</w:t>
            </w:r>
            <w:r>
              <w:tab/>
              <w:t>По-нисък риск от сътресения в сектора</w:t>
            </w:r>
          </w:p>
          <w:p w14:paraId="3D567D0A" w14:textId="77777777" w:rsidR="00F346DE" w:rsidRDefault="00F346DE" w:rsidP="008067A3">
            <w:pPr>
              <w:spacing w:after="120" w:line="240" w:lineRule="auto"/>
              <w:jc w:val="center"/>
              <w:rPr>
                <w:rFonts w:ascii="Times New Roman" w:eastAsia="Times New Roman" w:hAnsi="Times New Roman" w:cs="Times New Roman"/>
                <w:i/>
                <w:sz w:val="16"/>
                <w:szCs w:val="16"/>
                <w:lang w:val="bg-BG"/>
              </w:rPr>
            </w:pPr>
          </w:p>
          <w:p w14:paraId="04A4531D" w14:textId="501128C9" w:rsidR="00076E63" w:rsidRPr="00076E63" w:rsidRDefault="00076E63" w:rsidP="008067A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sidR="00E653D3">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79A01013" w14:textId="77777777" w:rsidR="009D0055" w:rsidRPr="009D0055" w:rsidRDefault="009D0055" w:rsidP="009D0055">
            <w:pPr>
              <w:spacing w:before="120" w:after="120" w:line="240" w:lineRule="auto"/>
              <w:jc w:val="both"/>
              <w:rPr>
                <w:rFonts w:ascii="Times New Roman" w:eastAsia="Times New Roman" w:hAnsi="Times New Roman" w:cs="Times New Roman"/>
                <w:b/>
                <w:sz w:val="24"/>
                <w:szCs w:val="24"/>
                <w:lang w:val="bg-BG"/>
              </w:rPr>
            </w:pPr>
            <w:r w:rsidRPr="009D0055">
              <w:rPr>
                <w:rFonts w:ascii="Times New Roman" w:eastAsia="Times New Roman" w:hAnsi="Times New Roman" w:cs="Times New Roman"/>
                <w:b/>
                <w:sz w:val="24"/>
                <w:szCs w:val="24"/>
                <w:lang w:val="bg-BG"/>
              </w:rPr>
              <w:t>Отрицателни (икономически/социални/екологични) въздействия:</w:t>
            </w:r>
          </w:p>
          <w:p w14:paraId="0C9594CD" w14:textId="25D6D207" w:rsidR="009D0055" w:rsidRPr="009D0055" w:rsidRDefault="009D0055" w:rsidP="009D0055">
            <w:pPr>
              <w:numPr>
                <w:ilvl w:val="0"/>
                <w:numId w:val="12"/>
              </w:numPr>
              <w:spacing w:after="0" w:line="240" w:lineRule="auto"/>
              <w:jc w:val="both"/>
              <w:rPr>
                <w:rFonts w:ascii="Times New Roman" w:eastAsia="Times New Roman" w:hAnsi="Times New Roman" w:cs="Times New Roman"/>
                <w:b/>
                <w:sz w:val="24"/>
                <w:szCs w:val="24"/>
                <w:lang w:val="bg-BG"/>
              </w:rPr>
            </w:pPr>
            <w:r w:rsidRPr="009D0055">
              <w:rPr>
                <w:rFonts w:ascii="Times New Roman" w:eastAsia="Times New Roman" w:hAnsi="Times New Roman" w:cs="Times New Roman"/>
                <w:b/>
                <w:sz w:val="24"/>
                <w:szCs w:val="24"/>
                <w:lang w:val="bg-BG"/>
              </w:rPr>
              <w:t>4-те организации за оползотворяване на ИУЕЕО</w:t>
            </w:r>
          </w:p>
          <w:p w14:paraId="28AEBA2E" w14:textId="2B4A707B" w:rsidR="009D0055" w:rsidRPr="009D0055" w:rsidRDefault="009D0055" w:rsidP="009D0055">
            <w:pPr>
              <w:numPr>
                <w:ilvl w:val="0"/>
                <w:numId w:val="19"/>
              </w:numPr>
              <w:spacing w:before="120" w:after="120" w:line="240" w:lineRule="auto"/>
              <w:jc w:val="both"/>
              <w:rPr>
                <w:rFonts w:ascii="Times New Roman" w:eastAsia="Times New Roman" w:hAnsi="Times New Roman" w:cs="Times New Roman"/>
                <w:b/>
                <w:i/>
                <w:sz w:val="24"/>
                <w:szCs w:val="24"/>
                <w:lang w:val="bg-BG"/>
              </w:rPr>
            </w:pPr>
            <w:r>
              <w:rPr>
                <w:rFonts w:ascii="Times New Roman" w:eastAsia="Times New Roman" w:hAnsi="Times New Roman" w:cs="Times New Roman"/>
                <w:sz w:val="24"/>
                <w:szCs w:val="24"/>
                <w:lang w:val="bg-BG"/>
              </w:rPr>
              <w:t>Не са идентифицирани отрицателни въздействия върху тази заинтересована група при този вариант.</w:t>
            </w:r>
          </w:p>
          <w:p w14:paraId="52293DBE" w14:textId="77777777" w:rsidR="009D0055" w:rsidRPr="009D0055" w:rsidRDefault="009D0055" w:rsidP="009D0055">
            <w:pPr>
              <w:pStyle w:val="ListParagraph"/>
              <w:numPr>
                <w:ilvl w:val="0"/>
                <w:numId w:val="12"/>
              </w:numPr>
              <w:spacing w:after="0" w:line="240" w:lineRule="auto"/>
              <w:jc w:val="both"/>
              <w:rPr>
                <w:rFonts w:ascii="Times New Roman" w:eastAsia="Times New Roman" w:hAnsi="Times New Roman" w:cs="Times New Roman"/>
                <w:b/>
                <w:sz w:val="24"/>
                <w:szCs w:val="24"/>
                <w:lang w:val="bg-BG"/>
              </w:rPr>
            </w:pPr>
            <w:r w:rsidRPr="009D0055">
              <w:rPr>
                <w:rFonts w:ascii="Times New Roman" w:eastAsia="Times New Roman" w:hAnsi="Times New Roman" w:cs="Times New Roman"/>
                <w:b/>
                <w:sz w:val="24"/>
                <w:szCs w:val="24"/>
                <w:lang w:val="bg-BG"/>
              </w:rPr>
              <w:t>лицата, които пускат на пазара електрическо и електронно оборудване</w:t>
            </w:r>
          </w:p>
          <w:p w14:paraId="1332835C" w14:textId="77777777" w:rsidR="009D0055" w:rsidRPr="009D0055" w:rsidRDefault="009D0055" w:rsidP="009D0055">
            <w:pPr>
              <w:numPr>
                <w:ilvl w:val="0"/>
                <w:numId w:val="19"/>
              </w:numPr>
              <w:spacing w:before="120" w:after="12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Продължаваща финансова тежест от продуктовите такси</w:t>
            </w:r>
          </w:p>
          <w:p w14:paraId="13E61207" w14:textId="77777777" w:rsidR="009D0055" w:rsidRPr="009D0055" w:rsidRDefault="009D0055" w:rsidP="009D0055">
            <w:pPr>
              <w:numPr>
                <w:ilvl w:val="0"/>
                <w:numId w:val="19"/>
              </w:numPr>
              <w:spacing w:before="120" w:after="12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По-слаб стимул за оптимизация на разходите</w:t>
            </w:r>
          </w:p>
          <w:p w14:paraId="7C4E5375" w14:textId="273E751D" w:rsidR="009D0055" w:rsidRPr="009D0055" w:rsidRDefault="009D0055" w:rsidP="009D0055">
            <w:pPr>
              <w:numPr>
                <w:ilvl w:val="0"/>
                <w:numId w:val="19"/>
              </w:numPr>
              <w:spacing w:before="120" w:after="120" w:line="240" w:lineRule="auto"/>
              <w:jc w:val="both"/>
              <w:rPr>
                <w:rFonts w:ascii="Times New Roman" w:eastAsia="Times New Roman" w:hAnsi="Times New Roman" w:cs="Times New Roman"/>
                <w:b/>
                <w:sz w:val="24"/>
                <w:szCs w:val="24"/>
                <w:lang w:val="bg-BG"/>
              </w:rPr>
            </w:pPr>
            <w:r w:rsidRPr="009D0055">
              <w:rPr>
                <w:rFonts w:ascii="Times New Roman" w:eastAsia="Times New Roman" w:hAnsi="Times New Roman" w:cs="Times New Roman"/>
                <w:sz w:val="24"/>
                <w:szCs w:val="24"/>
                <w:lang w:val="bg-BG"/>
              </w:rPr>
              <w:t>Ограничена гъвкавост спрямо конкурентни пазари</w:t>
            </w:r>
          </w:p>
          <w:p w14:paraId="63E4A331" w14:textId="77777777" w:rsidR="009D0055" w:rsidRPr="009D0055" w:rsidRDefault="009D0055" w:rsidP="009D0055">
            <w:pPr>
              <w:pStyle w:val="ListParagraph"/>
              <w:numPr>
                <w:ilvl w:val="0"/>
                <w:numId w:val="12"/>
              </w:numPr>
              <w:spacing w:after="0" w:line="240" w:lineRule="auto"/>
              <w:jc w:val="both"/>
              <w:rPr>
                <w:rFonts w:ascii="Times New Roman" w:eastAsia="Times New Roman" w:hAnsi="Times New Roman" w:cs="Times New Roman"/>
                <w:b/>
                <w:sz w:val="24"/>
                <w:szCs w:val="24"/>
                <w:lang w:val="bg-BG"/>
              </w:rPr>
            </w:pPr>
            <w:r w:rsidRPr="009D0055">
              <w:rPr>
                <w:rFonts w:ascii="Times New Roman" w:eastAsia="Times New Roman" w:hAnsi="Times New Roman" w:cs="Times New Roman"/>
                <w:b/>
                <w:sz w:val="24"/>
                <w:szCs w:val="24"/>
                <w:lang w:val="bg-BG"/>
              </w:rPr>
              <w:t>граждани:</w:t>
            </w:r>
          </w:p>
          <w:p w14:paraId="4B370F3F" w14:textId="0BBFE9CA" w:rsidR="009D0055" w:rsidRDefault="009D0055" w:rsidP="009D0055">
            <w:pPr>
              <w:numPr>
                <w:ilvl w:val="0"/>
                <w:numId w:val="19"/>
              </w:numPr>
              <w:spacing w:after="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Възможно запазване на по-високи цени на продуктите</w:t>
            </w:r>
          </w:p>
          <w:p w14:paraId="5C78B037" w14:textId="77777777" w:rsidR="009D0055" w:rsidRPr="009D0055" w:rsidRDefault="009D0055" w:rsidP="009D0055">
            <w:pPr>
              <w:spacing w:after="0" w:line="240" w:lineRule="auto"/>
              <w:ind w:left="720"/>
              <w:jc w:val="both"/>
              <w:rPr>
                <w:rFonts w:ascii="Times New Roman" w:eastAsia="Times New Roman" w:hAnsi="Times New Roman" w:cs="Times New Roman"/>
                <w:sz w:val="24"/>
                <w:szCs w:val="24"/>
                <w:lang w:val="bg-BG"/>
              </w:rPr>
            </w:pPr>
          </w:p>
          <w:p w14:paraId="26ED15D9" w14:textId="77777777" w:rsidR="009D0055" w:rsidRPr="009D0055" w:rsidRDefault="009D0055" w:rsidP="009D0055">
            <w:pPr>
              <w:pStyle w:val="ListParagraph"/>
              <w:numPr>
                <w:ilvl w:val="0"/>
                <w:numId w:val="12"/>
              </w:numPr>
              <w:spacing w:after="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b/>
                <w:sz w:val="24"/>
                <w:szCs w:val="24"/>
                <w:lang w:val="bg-BG"/>
              </w:rPr>
              <w:t>Общини:</w:t>
            </w:r>
          </w:p>
          <w:p w14:paraId="7E31A43E" w14:textId="05DEEF3D" w:rsidR="009D0055" w:rsidRDefault="009D0055" w:rsidP="009D0055">
            <w:pPr>
              <w:numPr>
                <w:ilvl w:val="0"/>
                <w:numId w:val="19"/>
              </w:numPr>
              <w:spacing w:after="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Възможно изоставане спрямо по-иновативни решения</w:t>
            </w:r>
          </w:p>
          <w:p w14:paraId="548CBCEB" w14:textId="77777777" w:rsidR="009D0055" w:rsidRPr="009D0055" w:rsidRDefault="009D0055" w:rsidP="009D0055">
            <w:pPr>
              <w:spacing w:after="0" w:line="240" w:lineRule="auto"/>
              <w:ind w:left="720"/>
              <w:jc w:val="both"/>
              <w:rPr>
                <w:rFonts w:ascii="Times New Roman" w:eastAsia="Times New Roman" w:hAnsi="Times New Roman" w:cs="Times New Roman"/>
                <w:sz w:val="24"/>
                <w:szCs w:val="24"/>
                <w:lang w:val="bg-BG"/>
              </w:rPr>
            </w:pPr>
          </w:p>
          <w:p w14:paraId="5176D4D6" w14:textId="77777777" w:rsidR="009D0055" w:rsidRPr="009D0055" w:rsidRDefault="009D0055" w:rsidP="009D0055">
            <w:pPr>
              <w:pStyle w:val="ListParagraph"/>
              <w:numPr>
                <w:ilvl w:val="0"/>
                <w:numId w:val="12"/>
              </w:numPr>
              <w:spacing w:after="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b/>
                <w:sz w:val="24"/>
                <w:szCs w:val="24"/>
                <w:lang w:val="bg-BG"/>
              </w:rPr>
              <w:t>ПУДООС</w:t>
            </w:r>
            <w:r w:rsidRPr="009D0055">
              <w:rPr>
                <w:rFonts w:ascii="Times New Roman" w:eastAsia="Times New Roman" w:hAnsi="Times New Roman" w:cs="Times New Roman"/>
                <w:sz w:val="24"/>
                <w:szCs w:val="24"/>
                <w:lang w:val="bg-BG"/>
              </w:rPr>
              <w:t>:</w:t>
            </w:r>
          </w:p>
          <w:p w14:paraId="01130538" w14:textId="77B0B215" w:rsidR="009D0055" w:rsidRDefault="009D0055" w:rsidP="009D0055">
            <w:pPr>
              <w:numPr>
                <w:ilvl w:val="0"/>
                <w:numId w:val="19"/>
              </w:numPr>
              <w:spacing w:after="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Липса на стимул за реформи в механизма на таксите</w:t>
            </w:r>
          </w:p>
          <w:p w14:paraId="50ACCDF5" w14:textId="77777777" w:rsidR="009D0055" w:rsidRPr="009D0055" w:rsidRDefault="009D0055" w:rsidP="009D0055">
            <w:pPr>
              <w:spacing w:after="0" w:line="240" w:lineRule="auto"/>
              <w:ind w:left="720"/>
              <w:jc w:val="both"/>
              <w:rPr>
                <w:rFonts w:ascii="Times New Roman" w:eastAsia="Times New Roman" w:hAnsi="Times New Roman" w:cs="Times New Roman"/>
                <w:sz w:val="24"/>
                <w:szCs w:val="24"/>
                <w:lang w:val="bg-BG"/>
              </w:rPr>
            </w:pPr>
          </w:p>
          <w:p w14:paraId="51BBF45C" w14:textId="77777777" w:rsidR="009D0055" w:rsidRPr="009D0055" w:rsidRDefault="009D0055" w:rsidP="009D0055">
            <w:pPr>
              <w:pStyle w:val="ListParagraph"/>
              <w:numPr>
                <w:ilvl w:val="0"/>
                <w:numId w:val="12"/>
              </w:numPr>
              <w:spacing w:before="120" w:after="12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b/>
                <w:sz w:val="24"/>
                <w:szCs w:val="24"/>
                <w:lang w:val="bg-BG"/>
              </w:rPr>
              <w:t>МОСВ</w:t>
            </w:r>
            <w:r w:rsidRPr="009D0055">
              <w:rPr>
                <w:rFonts w:ascii="Times New Roman" w:eastAsia="Times New Roman" w:hAnsi="Times New Roman" w:cs="Times New Roman"/>
                <w:sz w:val="24"/>
                <w:szCs w:val="24"/>
                <w:lang w:val="bg-BG"/>
              </w:rPr>
              <w:t>:</w:t>
            </w:r>
          </w:p>
          <w:p w14:paraId="3A7D3ADF" w14:textId="77777777" w:rsidR="009D0055" w:rsidRPr="009D0055" w:rsidRDefault="009D0055" w:rsidP="009D0055">
            <w:pPr>
              <w:pStyle w:val="ListParagraph"/>
              <w:numPr>
                <w:ilvl w:val="0"/>
                <w:numId w:val="19"/>
              </w:numPr>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Не са идентифицирани отрицателни въздействия върху тази заинтересована група при този вариант.</w:t>
            </w:r>
          </w:p>
          <w:p w14:paraId="2AC9EA86" w14:textId="617E56E8" w:rsidR="009D0055" w:rsidRDefault="009D0055" w:rsidP="00076E63">
            <w:pPr>
              <w:spacing w:before="120" w:after="120" w:line="240" w:lineRule="auto"/>
              <w:jc w:val="both"/>
              <w:rPr>
                <w:rFonts w:ascii="Times New Roman" w:eastAsia="Times New Roman" w:hAnsi="Times New Roman" w:cs="Times New Roman"/>
                <w:b/>
                <w:sz w:val="24"/>
                <w:szCs w:val="24"/>
                <w:lang w:val="bg-BG"/>
              </w:rPr>
            </w:pPr>
          </w:p>
          <w:p w14:paraId="46D8F752" w14:textId="77777777" w:rsidR="009D0055" w:rsidRPr="00076E63" w:rsidRDefault="009D0055" w:rsidP="00076E63">
            <w:pPr>
              <w:spacing w:before="120" w:after="120" w:line="240" w:lineRule="auto"/>
              <w:jc w:val="both"/>
              <w:rPr>
                <w:rFonts w:ascii="Times New Roman" w:eastAsia="Times New Roman" w:hAnsi="Times New Roman" w:cs="Times New Roman"/>
                <w:b/>
                <w:sz w:val="24"/>
                <w:szCs w:val="24"/>
                <w:lang w:val="bg-BG"/>
              </w:rPr>
            </w:pPr>
          </w:p>
          <w:p w14:paraId="01039272" w14:textId="67555729" w:rsidR="00076E63" w:rsidRPr="00076E63" w:rsidRDefault="00076E63" w:rsidP="0094044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0115CB54"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1C93E30E" w14:textId="77777777" w:rsidR="005F7572"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16FDBA6F" w14:textId="363B04FD" w:rsidR="00076E63" w:rsidRPr="00076E63" w:rsidRDefault="005F7572" w:rsidP="00076E63">
            <w:pPr>
              <w:spacing w:before="120" w:after="120" w:line="240" w:lineRule="auto"/>
              <w:rPr>
                <w:rFonts w:ascii="Times New Roman" w:eastAsia="Times New Roman" w:hAnsi="Times New Roman" w:cs="Times New Roman"/>
                <w:sz w:val="24"/>
                <w:szCs w:val="24"/>
                <w:lang w:val="bg-BG"/>
              </w:rPr>
            </w:pPr>
            <w:r w:rsidRPr="005F7572">
              <w:rPr>
                <w:rFonts w:ascii="Times New Roman" w:eastAsia="Times New Roman" w:hAnsi="Times New Roman" w:cs="Times New Roman"/>
                <w:sz w:val="24"/>
                <w:szCs w:val="24"/>
                <w:lang w:val="bg-BG"/>
              </w:rPr>
              <w:t>Този вариант не влияе върху малките и средни предприятия</w:t>
            </w:r>
            <w:r>
              <w:rPr>
                <w:rFonts w:ascii="Times New Roman" w:eastAsia="Times New Roman" w:hAnsi="Times New Roman" w:cs="Times New Roman"/>
                <w:sz w:val="24"/>
                <w:szCs w:val="24"/>
                <w:lang w:val="bg-BG"/>
              </w:rPr>
              <w:t>.</w:t>
            </w:r>
            <w:r w:rsidR="009D0055">
              <w:rPr>
                <w:rFonts w:ascii="Times New Roman" w:eastAsia="Times New Roman" w:hAnsi="Times New Roman" w:cs="Times New Roman"/>
                <w:sz w:val="24"/>
                <w:szCs w:val="24"/>
                <w:lang w:val="bg-BG"/>
              </w:rPr>
              <w:t xml:space="preserve"> Запазва се действащата система.</w:t>
            </w:r>
          </w:p>
          <w:p w14:paraId="77D1B46C" w14:textId="4C287825" w:rsidR="00076E63" w:rsidRDefault="00076E63" w:rsidP="005F7572">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47960945" w14:textId="6668BEA9" w:rsidR="005F7572" w:rsidRPr="00076E63" w:rsidRDefault="005F7572" w:rsidP="005F7572">
            <w:pPr>
              <w:spacing w:before="120" w:after="120" w:line="240" w:lineRule="auto"/>
              <w:rPr>
                <w:rFonts w:ascii="Times New Roman" w:eastAsia="Times New Roman" w:hAnsi="Times New Roman" w:cs="Times New Roman"/>
                <w:sz w:val="24"/>
                <w:szCs w:val="24"/>
                <w:lang w:val="bg-BG"/>
              </w:rPr>
            </w:pPr>
            <w:r w:rsidRPr="005F7572">
              <w:rPr>
                <w:rFonts w:ascii="Times New Roman" w:eastAsia="Times New Roman" w:hAnsi="Times New Roman" w:cs="Times New Roman"/>
                <w:sz w:val="24"/>
                <w:szCs w:val="24"/>
                <w:lang w:val="bg-BG"/>
              </w:rPr>
              <w:t>Този вариант не е свързан с промяна в административната тежест.</w:t>
            </w:r>
          </w:p>
          <w:p w14:paraId="7A252E0D" w14:textId="7DC2FCDF" w:rsidR="00076E63" w:rsidRPr="00C93DF1" w:rsidRDefault="0078311F">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00076E63"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00076E63" w:rsidRPr="00C93DF1">
              <w:rPr>
                <w:rFonts w:ascii="Times New Roman" w:eastAsia="Times New Roman" w:hAnsi="Times New Roman" w:cs="Times New Roman"/>
                <w:i/>
                <w:sz w:val="16"/>
                <w:szCs w:val="16"/>
                <w:lang w:val="bg-BG"/>
              </w:rPr>
              <w:t xml:space="preserve"> </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7F64A028" w14:textId="2E9E22CB" w:rsidR="00F04B4E" w:rsidRDefault="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F04B4E"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2E43973A"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005F7572" w:rsidRPr="00B16567">
              <w:rPr>
                <w:rFonts w:ascii="Times New Roman" w:eastAsia="Times New Roman" w:hAnsi="Times New Roman" w:cs="Times New Roman"/>
                <w:b/>
                <w:bCs/>
                <w:sz w:val="24"/>
                <w:szCs w:val="24"/>
                <w:lang w:val="bg-BG"/>
              </w:rPr>
              <w:t xml:space="preserve">Решаване на Проблем </w:t>
            </w:r>
            <w:r w:rsidR="005F7572">
              <w:rPr>
                <w:rFonts w:ascii="Times New Roman" w:eastAsia="Times New Roman" w:hAnsi="Times New Roman" w:cs="Times New Roman"/>
                <w:b/>
                <w:bCs/>
                <w:sz w:val="24"/>
                <w:szCs w:val="24"/>
                <w:lang w:val="bg-BG"/>
              </w:rPr>
              <w:t>1</w:t>
            </w:r>
            <w:r w:rsidR="005F7572" w:rsidRPr="00B16567">
              <w:rPr>
                <w:rFonts w:ascii="Times New Roman" w:eastAsia="Times New Roman" w:hAnsi="Times New Roman" w:cs="Times New Roman"/>
                <w:b/>
                <w:bCs/>
                <w:sz w:val="24"/>
                <w:szCs w:val="24"/>
                <w:lang w:val="bg-BG"/>
              </w:rPr>
              <w:t xml:space="preserve"> и „</w:t>
            </w:r>
            <w:r w:rsidR="00607D13" w:rsidRPr="00607D13">
              <w:rPr>
                <w:rFonts w:ascii="Times New Roman" w:eastAsia="Times New Roman" w:hAnsi="Times New Roman" w:cs="Times New Roman"/>
                <w:b/>
                <w:bCs/>
                <w:sz w:val="24"/>
                <w:szCs w:val="24"/>
                <w:lang w:val="bg-BG"/>
              </w:rPr>
              <w:t>Приемане на ПМС за изменение и допълнение на Наредбата за определяне на реда и размера за заплащане на продуктова такса</w:t>
            </w:r>
            <w:r w:rsidR="005F7572">
              <w:rPr>
                <w:rFonts w:ascii="Times New Roman" w:eastAsia="Times New Roman" w:hAnsi="Times New Roman" w:cs="Times New Roman"/>
                <w:b/>
                <w:bCs/>
                <w:sz w:val="24"/>
                <w:szCs w:val="24"/>
                <w:lang w:val="bg-BG"/>
              </w:rPr>
              <w:t>“</w:t>
            </w:r>
            <w:r w:rsidRPr="00076E63">
              <w:rPr>
                <w:rFonts w:ascii="Times New Roman" w:eastAsia="Times New Roman" w:hAnsi="Times New Roman" w:cs="Times New Roman"/>
                <w:b/>
                <w:sz w:val="24"/>
                <w:szCs w:val="24"/>
                <w:lang w:val="bg-BG"/>
              </w:rPr>
              <w:t>:</w:t>
            </w:r>
          </w:p>
          <w:p w14:paraId="2923BC29"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352CCFA" w14:textId="58F68811" w:rsidR="00D978EA" w:rsidRDefault="00D978EA" w:rsidP="00D978EA">
            <w:pPr>
              <w:pStyle w:val="NormalWeb"/>
              <w:spacing w:before="0" w:beforeAutospacing="0" w:after="0" w:afterAutospacing="0"/>
              <w:ind w:firstLine="441"/>
              <w:jc w:val="both"/>
            </w:pPr>
            <w:r>
              <w:t>Приемането на ПМС за изменение и допълнение на Наредбата за определяне на реда и размера за заплащане на продуктова такса е насочен към възстановяване на пропорционалността и икономическата обоснованост на продуктовите такси. Предлаганото намаляване на ставките, базирано на средноевропейски бенчмарк, позволява те да бъдат приведени в по-тясно съответствие с реалните разходи за събиране и рециклиране, като същевременно се запазва функцията им на икономически стимул и последна, по-неблагоприятна опция при неизпълнение на задълженията.</w:t>
            </w:r>
          </w:p>
          <w:p w14:paraId="7A8E90B2" w14:textId="77777777" w:rsidR="00D978EA" w:rsidRDefault="00D978EA" w:rsidP="00D978EA">
            <w:pPr>
              <w:pStyle w:val="NormalWeb"/>
              <w:spacing w:before="0" w:beforeAutospacing="0" w:after="0" w:afterAutospacing="0"/>
              <w:ind w:firstLine="441"/>
              <w:jc w:val="both"/>
            </w:pPr>
            <w:r>
              <w:t>Очакваният ефект е намаляване на финансовата тежест върху лицата, които пускат електрическо и електронно оборудване на пазара, което ще подобри тяхната конкурентоспособност и ще създаде предпоставки за по-стабилна и предвидима бизнес среда. Предвид факта, че продуктовата такса се включва в крайната цена на продуктите, мярката има потенциал да окаже положително въздействие и върху потребителите чрез ограничаване на ценовия натиск.</w:t>
            </w:r>
          </w:p>
          <w:p w14:paraId="4A5202DC" w14:textId="77777777" w:rsidR="00D978EA" w:rsidRDefault="00D978EA" w:rsidP="00D978EA">
            <w:pPr>
              <w:pStyle w:val="NormalWeb"/>
              <w:spacing w:before="0" w:beforeAutospacing="0" w:after="0" w:afterAutospacing="0"/>
              <w:ind w:firstLine="441"/>
              <w:jc w:val="both"/>
            </w:pPr>
            <w:r>
              <w:t>В същото време предложението създава по-прозрачна и защитима основа за определяне на таксите, като въвежда ясен референтен механизъм, съобразен с практиките в други държави членки и с изискванията на европейското право. Това допринася за ограничаване на пазарните изкривявания, произтичащи от използването на продуктовата такса като ориентир за лицензионните възнаграждения, и за по-добро функциониране на системата за разширена отговорност на производителя.</w:t>
            </w:r>
          </w:p>
          <w:p w14:paraId="4744980D" w14:textId="77777777" w:rsidR="00D978EA" w:rsidRDefault="00D978EA" w:rsidP="001F6AA0">
            <w:pPr>
              <w:pStyle w:val="NormalWeb"/>
              <w:spacing w:before="0" w:beforeAutospacing="0" w:after="0" w:afterAutospacing="0"/>
              <w:ind w:firstLine="441"/>
              <w:jc w:val="both"/>
            </w:pPr>
            <w:r>
              <w:t>Вариантът не води до увеличаване на административната тежест, тъй като не променя съществуващите режими и процедури, а само техните икономически параметри. Възможно е в краткосрочен план да се наблюдава намаляване на приходите в ПУДООС, но това се компенсира от по-добрата пропорционалност на инструмента и от дългосрочните ползи, свързани с по-ефективно функциониране на пазара и по-добра съгласуваност с европейските изисквания. В този смисъл вариантът предлага балансирано решение, което съчетава икономическа ефективност с постигане на екологичните цели.</w:t>
            </w:r>
          </w:p>
          <w:p w14:paraId="232D5E9B" w14:textId="77777777" w:rsidR="00C615B4" w:rsidRPr="00076E63" w:rsidRDefault="00C615B4" w:rsidP="00C615B4">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1E932578" w14:textId="77777777" w:rsidR="00C615B4" w:rsidRPr="009D0055" w:rsidRDefault="00C615B4" w:rsidP="009D0055">
            <w:pPr>
              <w:numPr>
                <w:ilvl w:val="0"/>
                <w:numId w:val="12"/>
              </w:numPr>
              <w:spacing w:before="120" w:after="120" w:line="240" w:lineRule="auto"/>
              <w:jc w:val="both"/>
              <w:rPr>
                <w:rFonts w:ascii="Times New Roman" w:eastAsia="Times New Roman" w:hAnsi="Times New Roman" w:cs="Times New Roman"/>
                <w:b/>
                <w:i/>
                <w:sz w:val="24"/>
                <w:szCs w:val="24"/>
                <w:lang w:val="bg-BG"/>
              </w:rPr>
            </w:pPr>
            <w:r w:rsidRPr="009D0055">
              <w:rPr>
                <w:rFonts w:ascii="Times New Roman" w:eastAsia="Times New Roman" w:hAnsi="Times New Roman" w:cs="Times New Roman"/>
                <w:b/>
                <w:i/>
                <w:sz w:val="24"/>
                <w:szCs w:val="24"/>
                <w:lang w:val="bg-BG"/>
              </w:rPr>
              <w:t>4-те организации за оползотворяване на ИУЕЕО</w:t>
            </w:r>
          </w:p>
          <w:p w14:paraId="0E11392D"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b/>
                <w:i/>
                <w:sz w:val="24"/>
                <w:szCs w:val="24"/>
                <w:lang w:val="bg-BG"/>
              </w:rPr>
              <w:t xml:space="preserve"> </w:t>
            </w:r>
            <w:r w:rsidRPr="009D0055">
              <w:rPr>
                <w:rFonts w:ascii="Times New Roman" w:eastAsia="Times New Roman" w:hAnsi="Times New Roman" w:cs="Times New Roman"/>
                <w:sz w:val="24"/>
                <w:szCs w:val="24"/>
                <w:lang w:val="bg-BG"/>
              </w:rPr>
              <w:t>- по-лесно привличане на нови членове (по-ниски разходи за производителите)</w:t>
            </w:r>
          </w:p>
          <w:p w14:paraId="45CB18E3"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 потенциално по-голям обем декларирано оборудване (по-малко укриване):</w:t>
            </w:r>
          </w:p>
          <w:p w14:paraId="1B869662" w14:textId="77777777" w:rsidR="00C615B4" w:rsidRPr="009D0055" w:rsidRDefault="00C615B4" w:rsidP="009D0055">
            <w:pPr>
              <w:numPr>
                <w:ilvl w:val="0"/>
                <w:numId w:val="12"/>
              </w:numPr>
              <w:spacing w:before="120" w:after="120" w:line="240" w:lineRule="auto"/>
              <w:jc w:val="both"/>
              <w:rPr>
                <w:rFonts w:ascii="Times New Roman" w:eastAsia="Times New Roman" w:hAnsi="Times New Roman" w:cs="Times New Roman"/>
                <w:b/>
                <w:i/>
                <w:sz w:val="24"/>
                <w:szCs w:val="24"/>
                <w:lang w:val="bg-BG"/>
              </w:rPr>
            </w:pPr>
            <w:r w:rsidRPr="009D0055">
              <w:rPr>
                <w:rFonts w:ascii="Times New Roman" w:eastAsia="Times New Roman" w:hAnsi="Times New Roman" w:cs="Times New Roman"/>
                <w:b/>
                <w:i/>
                <w:sz w:val="24"/>
                <w:szCs w:val="24"/>
                <w:lang w:val="bg-BG"/>
              </w:rPr>
              <w:t>лицата, които пускат на пазара електрическо и електронно оборудване</w:t>
            </w:r>
          </w:p>
          <w:p w14:paraId="1543DFE2"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Повишена конкурентоспособност</w:t>
            </w:r>
          </w:p>
          <w:p w14:paraId="67F09001"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Възможност за по-ниски цени или по-високи печалби</w:t>
            </w:r>
          </w:p>
          <w:p w14:paraId="12D16B54" w14:textId="77777777" w:rsidR="00C615B4" w:rsidRPr="009D0055" w:rsidRDefault="00C615B4" w:rsidP="009D0055">
            <w:pPr>
              <w:numPr>
                <w:ilvl w:val="0"/>
                <w:numId w:val="12"/>
              </w:numPr>
              <w:spacing w:before="120" w:after="120" w:line="240" w:lineRule="auto"/>
              <w:jc w:val="both"/>
              <w:rPr>
                <w:rFonts w:ascii="Times New Roman" w:eastAsia="Times New Roman" w:hAnsi="Times New Roman" w:cs="Times New Roman"/>
                <w:b/>
                <w:i/>
                <w:sz w:val="24"/>
                <w:szCs w:val="24"/>
                <w:lang w:val="bg-BG"/>
              </w:rPr>
            </w:pPr>
            <w:r w:rsidRPr="009D0055">
              <w:rPr>
                <w:rFonts w:ascii="Times New Roman" w:eastAsia="Times New Roman" w:hAnsi="Times New Roman" w:cs="Times New Roman"/>
                <w:b/>
                <w:sz w:val="24"/>
                <w:szCs w:val="24"/>
                <w:lang w:val="bg-BG"/>
              </w:rPr>
              <w:t>граждани:</w:t>
            </w:r>
          </w:p>
          <w:p w14:paraId="070F3DC0"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По-ниски цени на електроуредите</w:t>
            </w:r>
          </w:p>
          <w:p w14:paraId="6EC0A61F"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По-лесен достъп до техника</w:t>
            </w:r>
          </w:p>
          <w:p w14:paraId="6FB1D604" w14:textId="77777777" w:rsidR="00C615B4" w:rsidRPr="009D0055" w:rsidRDefault="00C615B4" w:rsidP="009D0055">
            <w:pPr>
              <w:numPr>
                <w:ilvl w:val="0"/>
                <w:numId w:val="12"/>
              </w:numPr>
              <w:spacing w:before="120" w:after="120" w:line="240" w:lineRule="auto"/>
              <w:jc w:val="both"/>
              <w:rPr>
                <w:rFonts w:ascii="Times New Roman" w:eastAsia="Times New Roman" w:hAnsi="Times New Roman" w:cs="Times New Roman"/>
                <w:b/>
                <w:sz w:val="24"/>
                <w:szCs w:val="24"/>
                <w:lang w:val="bg-BG"/>
              </w:rPr>
            </w:pPr>
            <w:r w:rsidRPr="009D0055">
              <w:rPr>
                <w:rFonts w:ascii="Times New Roman" w:eastAsia="Times New Roman" w:hAnsi="Times New Roman" w:cs="Times New Roman"/>
                <w:b/>
                <w:sz w:val="24"/>
                <w:szCs w:val="24"/>
                <w:lang w:val="bg-BG"/>
              </w:rPr>
              <w:t>Общини:</w:t>
            </w:r>
          </w:p>
          <w:p w14:paraId="146C40E1"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Потенциално по-малък административен натиск (ако системите се свиват)</w:t>
            </w:r>
          </w:p>
          <w:p w14:paraId="1801C119" w14:textId="77777777" w:rsidR="00C615B4" w:rsidRPr="009D0055" w:rsidRDefault="00C615B4" w:rsidP="009D0055">
            <w:pPr>
              <w:numPr>
                <w:ilvl w:val="0"/>
                <w:numId w:val="12"/>
              </w:numPr>
              <w:spacing w:before="120" w:after="12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b/>
                <w:sz w:val="24"/>
                <w:szCs w:val="24"/>
                <w:lang w:val="bg-BG"/>
              </w:rPr>
              <w:t>ПУДООС</w:t>
            </w:r>
            <w:r w:rsidRPr="009D0055">
              <w:rPr>
                <w:rFonts w:ascii="Times New Roman" w:eastAsia="Times New Roman" w:hAnsi="Times New Roman" w:cs="Times New Roman"/>
                <w:sz w:val="24"/>
                <w:szCs w:val="24"/>
                <w:lang w:val="bg-BG"/>
              </w:rPr>
              <w:t>:</w:t>
            </w:r>
          </w:p>
          <w:p w14:paraId="165988E4" w14:textId="77777777" w:rsidR="00C615B4" w:rsidRPr="009D0055" w:rsidRDefault="00C615B4" w:rsidP="009D0055">
            <w:pPr>
              <w:pStyle w:val="ListParagraph"/>
              <w:numPr>
                <w:ilvl w:val="2"/>
                <w:numId w:val="17"/>
              </w:numPr>
              <w:spacing w:before="120" w:after="120" w:line="240" w:lineRule="auto"/>
              <w:ind w:left="72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Ограничени или почти липсващи директни ползи</w:t>
            </w:r>
          </w:p>
          <w:p w14:paraId="03E55E23" w14:textId="77777777" w:rsidR="00C615B4" w:rsidRPr="009D0055" w:rsidRDefault="00C615B4" w:rsidP="009D0055">
            <w:pPr>
              <w:numPr>
                <w:ilvl w:val="0"/>
                <w:numId w:val="12"/>
              </w:numPr>
              <w:tabs>
                <w:tab w:val="left" w:pos="858"/>
                <w:tab w:val="left" w:pos="1850"/>
              </w:tabs>
              <w:spacing w:before="120" w:after="120" w:line="240" w:lineRule="auto"/>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b/>
                <w:sz w:val="24"/>
                <w:szCs w:val="24"/>
                <w:lang w:val="bg-BG"/>
              </w:rPr>
              <w:t>МОСВ</w:t>
            </w:r>
            <w:r w:rsidRPr="009D0055">
              <w:rPr>
                <w:rFonts w:ascii="Times New Roman" w:eastAsia="Times New Roman" w:hAnsi="Times New Roman" w:cs="Times New Roman"/>
                <w:sz w:val="24"/>
                <w:szCs w:val="24"/>
                <w:lang w:val="bg-BG"/>
              </w:rPr>
              <w:t>:</w:t>
            </w:r>
          </w:p>
          <w:p w14:paraId="54C72E9A" w14:textId="7E8979CC" w:rsidR="00C615B4" w:rsidRDefault="00C615B4" w:rsidP="009D0055">
            <w:pPr>
              <w:spacing w:before="120" w:after="120" w:line="240" w:lineRule="auto"/>
              <w:ind w:left="720" w:hanging="360"/>
              <w:jc w:val="both"/>
              <w:rPr>
                <w:rFonts w:ascii="Times New Roman" w:eastAsia="Times New Roman" w:hAnsi="Times New Roman" w:cs="Times New Roman"/>
                <w:sz w:val="24"/>
                <w:szCs w:val="24"/>
                <w:lang w:val="bg-BG"/>
              </w:rPr>
            </w:pPr>
            <w:r w:rsidRPr="009D0055">
              <w:rPr>
                <w:rFonts w:ascii="Times New Roman" w:eastAsia="Times New Roman" w:hAnsi="Times New Roman" w:cs="Times New Roman"/>
                <w:sz w:val="24"/>
                <w:szCs w:val="24"/>
                <w:lang w:val="bg-BG"/>
              </w:rPr>
              <w:t>При този вариант не са и</w:t>
            </w:r>
            <w:r w:rsidR="009D0055">
              <w:rPr>
                <w:rFonts w:ascii="Times New Roman" w:eastAsia="Times New Roman" w:hAnsi="Times New Roman" w:cs="Times New Roman"/>
                <w:sz w:val="24"/>
                <w:szCs w:val="24"/>
                <w:lang w:val="bg-BG"/>
              </w:rPr>
              <w:t>дентифицирани положителни въздействия върху тази група.</w:t>
            </w:r>
          </w:p>
          <w:p w14:paraId="5E8A6879" w14:textId="77777777" w:rsidR="009D0055" w:rsidRDefault="009D0055" w:rsidP="009D0055">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1C004F4" w14:textId="1C3E83D6" w:rsidR="009D0055" w:rsidRPr="009D0055" w:rsidRDefault="009D0055" w:rsidP="009D0055">
            <w:pPr>
              <w:numPr>
                <w:ilvl w:val="0"/>
                <w:numId w:val="12"/>
              </w:numPr>
              <w:spacing w:before="120" w:after="120" w:line="240" w:lineRule="auto"/>
              <w:jc w:val="both"/>
              <w:rPr>
                <w:rFonts w:ascii="Times New Roman" w:hAnsi="Times New Roman"/>
                <w:b/>
                <w:sz w:val="24"/>
                <w:szCs w:val="24"/>
                <w:lang w:val="bg-BG" w:eastAsia="bg-BG"/>
              </w:rPr>
            </w:pPr>
            <w:r w:rsidRPr="009D0055">
              <w:rPr>
                <w:rFonts w:ascii="Times New Roman" w:hAnsi="Times New Roman"/>
                <w:b/>
                <w:sz w:val="24"/>
                <w:szCs w:val="24"/>
                <w:lang w:val="bg-BG" w:eastAsia="bg-BG"/>
              </w:rPr>
              <w:t>4-те организации за оползотворяване на ИУЕЕО</w:t>
            </w:r>
          </w:p>
          <w:p w14:paraId="3E8AC262"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 xml:space="preserve">Сериозно намаляване на финансовите ресурси; </w:t>
            </w:r>
          </w:p>
          <w:p w14:paraId="6C4FF6DA"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 xml:space="preserve">Трудности при изпълнение на целите за събиране и рециклиране; </w:t>
            </w:r>
          </w:p>
          <w:p w14:paraId="52BE0474"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Влошаване на качеството на услугите (по-малко инвестиции);</w:t>
            </w:r>
          </w:p>
          <w:p w14:paraId="5EBDA856"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 xml:space="preserve">Риск от фалити или консолидация в сектора. </w:t>
            </w:r>
          </w:p>
          <w:p w14:paraId="2CEFCF0C" w14:textId="77777777" w:rsidR="009D0055" w:rsidRPr="009D0055" w:rsidRDefault="009D0055" w:rsidP="009D0055">
            <w:pPr>
              <w:numPr>
                <w:ilvl w:val="0"/>
                <w:numId w:val="12"/>
              </w:numPr>
              <w:spacing w:before="120" w:after="120" w:line="240" w:lineRule="auto"/>
              <w:jc w:val="both"/>
              <w:rPr>
                <w:rFonts w:ascii="Times New Roman" w:hAnsi="Times New Roman"/>
                <w:b/>
                <w:sz w:val="24"/>
                <w:szCs w:val="24"/>
                <w:lang w:val="bg-BG" w:eastAsia="bg-BG"/>
              </w:rPr>
            </w:pPr>
            <w:r w:rsidRPr="009D0055">
              <w:rPr>
                <w:rFonts w:ascii="Times New Roman" w:hAnsi="Times New Roman"/>
                <w:b/>
                <w:sz w:val="24"/>
                <w:szCs w:val="24"/>
                <w:lang w:val="bg-BG" w:eastAsia="bg-BG"/>
              </w:rPr>
              <w:t>лицата, които пускат на пазара електрическо и електронно оборудване</w:t>
            </w:r>
          </w:p>
          <w:p w14:paraId="06E6D71B"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Намален стимул за екодизайн и по-дълъг живот на продуктите</w:t>
            </w:r>
          </w:p>
          <w:p w14:paraId="60D6CED2"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Репутационен риск (по-слаб ангажимент към околната среда)</w:t>
            </w:r>
          </w:p>
          <w:p w14:paraId="2BC927FB"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В дългосрочен план – възможни по-строги регулации като компенсаторна мярка</w:t>
            </w:r>
          </w:p>
          <w:p w14:paraId="5F0F8BEB" w14:textId="77777777" w:rsidR="009D0055" w:rsidRPr="009D0055" w:rsidRDefault="009D0055" w:rsidP="009D0055">
            <w:pPr>
              <w:numPr>
                <w:ilvl w:val="0"/>
                <w:numId w:val="12"/>
              </w:numPr>
              <w:spacing w:before="120" w:after="120" w:line="240" w:lineRule="auto"/>
              <w:jc w:val="both"/>
              <w:rPr>
                <w:rFonts w:ascii="Times New Roman" w:hAnsi="Times New Roman"/>
                <w:b/>
                <w:sz w:val="24"/>
                <w:szCs w:val="24"/>
                <w:lang w:val="bg-BG" w:eastAsia="bg-BG"/>
              </w:rPr>
            </w:pPr>
            <w:r w:rsidRPr="009D0055">
              <w:rPr>
                <w:rFonts w:ascii="Times New Roman" w:hAnsi="Times New Roman"/>
                <w:b/>
                <w:sz w:val="24"/>
                <w:szCs w:val="24"/>
                <w:lang w:val="bg-BG" w:eastAsia="bg-BG"/>
              </w:rPr>
              <w:t>граждани:</w:t>
            </w:r>
          </w:p>
          <w:p w14:paraId="72779800" w14:textId="3A74F1F1"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По-сл</w:t>
            </w:r>
            <w:r w:rsidR="00DA5FF0">
              <w:rPr>
                <w:rFonts w:ascii="Times New Roman" w:hAnsi="Times New Roman"/>
                <w:sz w:val="24"/>
                <w:szCs w:val="24"/>
                <w:lang w:val="bg-BG" w:eastAsia="bg-BG"/>
              </w:rPr>
              <w:t>або развита система за събиране</w:t>
            </w:r>
          </w:p>
          <w:p w14:paraId="710F2BD6"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Повече нерегламентирано изхвърляне</w:t>
            </w:r>
          </w:p>
          <w:p w14:paraId="6E11AA0C"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Повишен риск за здравето и околната среда</w:t>
            </w:r>
          </w:p>
          <w:p w14:paraId="36B5918F" w14:textId="77777777" w:rsidR="009D0055" w:rsidRPr="009D0055" w:rsidRDefault="009D0055" w:rsidP="009D0055">
            <w:pPr>
              <w:numPr>
                <w:ilvl w:val="0"/>
                <w:numId w:val="12"/>
              </w:numPr>
              <w:spacing w:before="120" w:after="120" w:line="240" w:lineRule="auto"/>
              <w:jc w:val="both"/>
              <w:rPr>
                <w:rFonts w:ascii="Times New Roman" w:hAnsi="Times New Roman"/>
                <w:sz w:val="24"/>
                <w:szCs w:val="24"/>
                <w:lang w:val="bg-BG" w:eastAsia="bg-BG"/>
              </w:rPr>
            </w:pPr>
            <w:r w:rsidRPr="009D0055">
              <w:rPr>
                <w:rFonts w:ascii="Times New Roman" w:hAnsi="Times New Roman"/>
                <w:b/>
                <w:sz w:val="24"/>
                <w:szCs w:val="24"/>
                <w:lang w:val="bg-BG" w:eastAsia="bg-BG"/>
              </w:rPr>
              <w:t>Общини:</w:t>
            </w:r>
          </w:p>
          <w:p w14:paraId="6E9DF6E2"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Повече отпадъци в общинската система</w:t>
            </w:r>
          </w:p>
          <w:p w14:paraId="3D15376F"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Повишени разходи за управление на отпадъците</w:t>
            </w:r>
          </w:p>
          <w:p w14:paraId="71FC7690"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Трудности при изпълнение на екологични цели</w:t>
            </w:r>
          </w:p>
          <w:p w14:paraId="7D5D58F6"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По-чести нерегламентирани сметища</w:t>
            </w:r>
          </w:p>
          <w:p w14:paraId="012ACFE1" w14:textId="77777777" w:rsidR="009D0055" w:rsidRPr="009D0055" w:rsidRDefault="009D0055" w:rsidP="009D0055">
            <w:pPr>
              <w:numPr>
                <w:ilvl w:val="0"/>
                <w:numId w:val="12"/>
              </w:numPr>
              <w:spacing w:before="120" w:after="120" w:line="240" w:lineRule="auto"/>
              <w:jc w:val="both"/>
              <w:rPr>
                <w:rFonts w:ascii="Times New Roman" w:hAnsi="Times New Roman"/>
                <w:sz w:val="24"/>
                <w:szCs w:val="24"/>
                <w:lang w:val="bg-BG" w:eastAsia="bg-BG"/>
              </w:rPr>
            </w:pPr>
            <w:r w:rsidRPr="009D0055">
              <w:rPr>
                <w:rFonts w:ascii="Times New Roman" w:hAnsi="Times New Roman"/>
                <w:b/>
                <w:sz w:val="24"/>
                <w:szCs w:val="24"/>
                <w:lang w:val="bg-BG" w:eastAsia="bg-BG"/>
              </w:rPr>
              <w:t>ПУДООС</w:t>
            </w:r>
            <w:r w:rsidRPr="009D0055">
              <w:rPr>
                <w:rFonts w:ascii="Times New Roman" w:hAnsi="Times New Roman"/>
                <w:sz w:val="24"/>
                <w:szCs w:val="24"/>
                <w:lang w:val="bg-BG" w:eastAsia="bg-BG"/>
              </w:rPr>
              <w:t>:</w:t>
            </w:r>
          </w:p>
          <w:p w14:paraId="62759D9D"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Намалени приходи от продуктови такси</w:t>
            </w:r>
          </w:p>
          <w:p w14:paraId="552C76B0"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По-малко средства за екологични проекти</w:t>
            </w:r>
          </w:p>
          <w:p w14:paraId="25D21D66"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Ограничена възможност за финансиране на инфраструктура</w:t>
            </w:r>
          </w:p>
          <w:p w14:paraId="08BE9545" w14:textId="77777777" w:rsidR="009D0055" w:rsidRPr="009D0055" w:rsidRDefault="009D0055" w:rsidP="009D0055">
            <w:pPr>
              <w:numPr>
                <w:ilvl w:val="0"/>
                <w:numId w:val="12"/>
              </w:numPr>
              <w:spacing w:before="120" w:after="120" w:line="240" w:lineRule="auto"/>
              <w:jc w:val="both"/>
              <w:rPr>
                <w:rFonts w:ascii="Times New Roman" w:hAnsi="Times New Roman"/>
                <w:sz w:val="24"/>
                <w:szCs w:val="24"/>
                <w:lang w:val="bg-BG" w:eastAsia="bg-BG"/>
              </w:rPr>
            </w:pPr>
            <w:r w:rsidRPr="009D0055">
              <w:rPr>
                <w:rFonts w:ascii="Times New Roman" w:hAnsi="Times New Roman"/>
                <w:b/>
                <w:sz w:val="24"/>
                <w:szCs w:val="24"/>
                <w:lang w:val="bg-BG" w:eastAsia="bg-BG"/>
              </w:rPr>
              <w:t>МОСВ</w:t>
            </w:r>
            <w:r w:rsidRPr="009D0055">
              <w:rPr>
                <w:rFonts w:ascii="Times New Roman" w:hAnsi="Times New Roman"/>
                <w:sz w:val="24"/>
                <w:szCs w:val="24"/>
                <w:lang w:val="bg-BG" w:eastAsia="bg-BG"/>
              </w:rPr>
              <w:t>:</w:t>
            </w:r>
          </w:p>
          <w:p w14:paraId="127128EC"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По-трудно постигане на националните и европейските цели</w:t>
            </w:r>
          </w:p>
          <w:p w14:paraId="1A3BA9B2" w14:textId="77777777" w:rsidR="009D0055" w:rsidRP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Повишен риск от санкции от ЕС</w:t>
            </w:r>
          </w:p>
          <w:p w14:paraId="7DE9E1D5" w14:textId="3ED97FEE" w:rsidR="009D0055" w:rsidRDefault="009D0055" w:rsidP="009D0055">
            <w:pPr>
              <w:pStyle w:val="ListParagraph"/>
              <w:numPr>
                <w:ilvl w:val="0"/>
                <w:numId w:val="19"/>
              </w:numPr>
              <w:spacing w:before="120" w:after="120" w:line="240" w:lineRule="auto"/>
              <w:jc w:val="both"/>
              <w:rPr>
                <w:rFonts w:ascii="Times New Roman" w:hAnsi="Times New Roman"/>
                <w:sz w:val="24"/>
                <w:szCs w:val="24"/>
                <w:lang w:val="bg-BG" w:eastAsia="bg-BG"/>
              </w:rPr>
            </w:pPr>
            <w:r w:rsidRPr="009D0055">
              <w:rPr>
                <w:rFonts w:ascii="Times New Roman" w:hAnsi="Times New Roman"/>
                <w:sz w:val="24"/>
                <w:szCs w:val="24"/>
                <w:lang w:val="bg-BG" w:eastAsia="bg-BG"/>
              </w:rPr>
              <w:t>Необходимост от нови регулаторни мерки</w:t>
            </w:r>
          </w:p>
          <w:p w14:paraId="34AF831B" w14:textId="77777777" w:rsidR="00DA5FF0" w:rsidRPr="00DA5FF0" w:rsidRDefault="00DA5FF0" w:rsidP="00DA5FF0">
            <w:pPr>
              <w:pStyle w:val="ListParagraph"/>
              <w:numPr>
                <w:ilvl w:val="0"/>
                <w:numId w:val="19"/>
              </w:numPr>
              <w:spacing w:before="120" w:after="120" w:line="240" w:lineRule="auto"/>
              <w:jc w:val="both"/>
              <w:rPr>
                <w:rFonts w:ascii="Times New Roman" w:hAnsi="Times New Roman"/>
                <w:sz w:val="24"/>
                <w:szCs w:val="24"/>
                <w:lang w:val="bg-BG" w:eastAsia="bg-BG"/>
              </w:rPr>
            </w:pPr>
            <w:r w:rsidRPr="00DA5FF0">
              <w:rPr>
                <w:rFonts w:ascii="Times New Roman" w:hAnsi="Times New Roman"/>
                <w:sz w:val="24"/>
                <w:szCs w:val="24"/>
                <w:lang w:val="bg-BG" w:eastAsia="bg-BG"/>
              </w:rPr>
              <w:t>Засилен контрол при намалени ресурси в системата</w:t>
            </w:r>
          </w:p>
          <w:p w14:paraId="4CC3DC62" w14:textId="3546FFE2" w:rsidR="00E44DE0" w:rsidRPr="00076E63" w:rsidRDefault="00E44DE0" w:rsidP="00DA5FF0">
            <w:pPr>
              <w:spacing w:after="120" w:line="240" w:lineRule="auto"/>
              <w:ind w:left="360"/>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0EA72D2" w14:textId="47CA33C5"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3330DA58" w14:textId="6C366902" w:rsidR="00D4642E" w:rsidRPr="00D4642E" w:rsidRDefault="00D4642E" w:rsidP="00E44DE0">
            <w:pPr>
              <w:spacing w:before="120" w:after="120" w:line="240" w:lineRule="auto"/>
              <w:jc w:val="both"/>
              <w:rPr>
                <w:rFonts w:ascii="Times New Roman" w:eastAsia="Times New Roman" w:hAnsi="Times New Roman" w:cs="Times New Roman"/>
                <w:sz w:val="24"/>
                <w:szCs w:val="24"/>
                <w:lang w:val="bg-BG"/>
              </w:rPr>
            </w:pPr>
            <w:r w:rsidRPr="00D4642E">
              <w:rPr>
                <w:rFonts w:ascii="Times New Roman" w:eastAsia="Times New Roman" w:hAnsi="Times New Roman" w:cs="Times New Roman"/>
                <w:sz w:val="24"/>
                <w:szCs w:val="24"/>
                <w:lang w:val="bg-BG"/>
              </w:rPr>
              <w:t>За МСП ефектът е предимно положителен в краткосрочен план (разходи и конкурентоспособност), но носи средносрочни и дългосрочни рискове, свързани с нестабилна система за управление на отпадъците, регулации и пазарна среда.</w:t>
            </w:r>
          </w:p>
          <w:p w14:paraId="423E5C23" w14:textId="5ABA347D" w:rsidR="0061283C" w:rsidRPr="00076E63" w:rsidRDefault="0061283C" w:rsidP="00E44DE0">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Положителни въздействия:</w:t>
            </w:r>
          </w:p>
          <w:p w14:paraId="0A07493C" w14:textId="7264EE3E" w:rsidR="0061283C" w:rsidRPr="0061283C" w:rsidRDefault="0061283C" w:rsidP="0061283C">
            <w:pPr>
              <w:numPr>
                <w:ilvl w:val="0"/>
                <w:numId w:val="20"/>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Намалени разходи за съответствие</w:t>
            </w:r>
            <w:r w:rsidRPr="0061283C">
              <w:rPr>
                <w:rFonts w:ascii="Times New Roman" w:eastAsia="Times New Roman" w:hAnsi="Times New Roman" w:cs="Times New Roman"/>
                <w:sz w:val="24"/>
                <w:szCs w:val="24"/>
                <w:lang w:val="bg-BG" w:eastAsia="bg-BG"/>
              </w:rPr>
              <w:br/>
              <w:t>Такси</w:t>
            </w:r>
            <w:r w:rsidR="00DA5FF0">
              <w:rPr>
                <w:rFonts w:ascii="Times New Roman" w:eastAsia="Times New Roman" w:hAnsi="Times New Roman" w:cs="Times New Roman"/>
                <w:sz w:val="24"/>
                <w:szCs w:val="24"/>
                <w:lang w:val="bg-BG" w:eastAsia="bg-BG"/>
              </w:rPr>
              <w:t>те са значителен разход за МСП -</w:t>
            </w:r>
            <w:r w:rsidRPr="0061283C">
              <w:rPr>
                <w:rFonts w:ascii="Times New Roman" w:eastAsia="Times New Roman" w:hAnsi="Times New Roman" w:cs="Times New Roman"/>
                <w:sz w:val="24"/>
                <w:szCs w:val="24"/>
                <w:lang w:val="bg-BG" w:eastAsia="bg-BG"/>
              </w:rPr>
              <w:t xml:space="preserve"> по-ниските такси директно подобряват ликвидността. </w:t>
            </w:r>
          </w:p>
          <w:p w14:paraId="549135BF" w14:textId="77777777" w:rsidR="0061283C" w:rsidRPr="0061283C" w:rsidRDefault="0061283C" w:rsidP="0061283C">
            <w:pPr>
              <w:numPr>
                <w:ilvl w:val="0"/>
                <w:numId w:val="20"/>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По-висока конкурентоспособност</w:t>
            </w:r>
            <w:r w:rsidRPr="0061283C">
              <w:rPr>
                <w:rFonts w:ascii="Times New Roman" w:eastAsia="Times New Roman" w:hAnsi="Times New Roman" w:cs="Times New Roman"/>
                <w:sz w:val="24"/>
                <w:szCs w:val="24"/>
                <w:lang w:val="bg-BG" w:eastAsia="bg-BG"/>
              </w:rPr>
              <w:br/>
              <w:t xml:space="preserve">Малките фирми могат по-лесно да се конкурират с големите компании (които по-лесно поемат разходи). </w:t>
            </w:r>
          </w:p>
          <w:p w14:paraId="61C7CE01" w14:textId="77777777" w:rsidR="0061283C" w:rsidRPr="0061283C" w:rsidRDefault="0061283C" w:rsidP="0061283C">
            <w:pPr>
              <w:numPr>
                <w:ilvl w:val="0"/>
                <w:numId w:val="20"/>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По-нисък входен праг за нови фирми</w:t>
            </w:r>
            <w:r w:rsidRPr="0061283C">
              <w:rPr>
                <w:rFonts w:ascii="Times New Roman" w:eastAsia="Times New Roman" w:hAnsi="Times New Roman" w:cs="Times New Roman"/>
                <w:sz w:val="24"/>
                <w:szCs w:val="24"/>
                <w:lang w:val="bg-BG" w:eastAsia="bg-BG"/>
              </w:rPr>
              <w:br/>
              <w:t xml:space="preserve">Улеснява навлизането на нови участници на пазара. </w:t>
            </w:r>
          </w:p>
          <w:p w14:paraId="4936F29A" w14:textId="009A4B75" w:rsidR="0061283C" w:rsidRPr="0061283C" w:rsidRDefault="0061283C" w:rsidP="0061283C">
            <w:pPr>
              <w:numPr>
                <w:ilvl w:val="0"/>
                <w:numId w:val="20"/>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Възможност за инвестиции</w:t>
            </w:r>
            <w:r w:rsidRPr="0061283C">
              <w:rPr>
                <w:rFonts w:ascii="Times New Roman" w:eastAsia="Times New Roman" w:hAnsi="Times New Roman" w:cs="Times New Roman"/>
                <w:sz w:val="24"/>
                <w:szCs w:val="24"/>
                <w:lang w:val="bg-BG" w:eastAsia="bg-BG"/>
              </w:rPr>
              <w:br/>
              <w:t>Освободения</w:t>
            </w:r>
            <w:r w:rsidR="00DA5FF0">
              <w:rPr>
                <w:rFonts w:ascii="Times New Roman" w:eastAsia="Times New Roman" w:hAnsi="Times New Roman" w:cs="Times New Roman"/>
                <w:sz w:val="24"/>
                <w:szCs w:val="24"/>
                <w:lang w:val="bg-BG" w:eastAsia="bg-BG"/>
              </w:rPr>
              <w:t>т ресурс може да се насочи към иновации и развитие.</w:t>
            </w:r>
          </w:p>
          <w:p w14:paraId="361DB3DB" w14:textId="77777777" w:rsidR="0061283C" w:rsidRPr="0061283C" w:rsidRDefault="0061283C" w:rsidP="0061283C">
            <w:pPr>
              <w:spacing w:before="100" w:beforeAutospacing="1" w:after="100" w:afterAutospacing="1" w:line="240" w:lineRule="auto"/>
              <w:rPr>
                <w:rFonts w:ascii="Times New Roman" w:eastAsia="Times New Roman" w:hAnsi="Times New Roman" w:cs="Times New Roman"/>
                <w:b/>
                <w:bCs/>
                <w:sz w:val="24"/>
                <w:szCs w:val="24"/>
                <w:lang w:val="bg-BG" w:eastAsia="bg-BG"/>
              </w:rPr>
            </w:pPr>
            <w:r w:rsidRPr="0061283C">
              <w:rPr>
                <w:rFonts w:ascii="Times New Roman" w:eastAsia="Times New Roman" w:hAnsi="Times New Roman" w:cs="Times New Roman"/>
                <w:b/>
                <w:bCs/>
                <w:sz w:val="24"/>
                <w:szCs w:val="24"/>
                <w:lang w:val="bg-BG" w:eastAsia="bg-BG"/>
              </w:rPr>
              <w:t>Отрицателни въздействия:</w:t>
            </w:r>
          </w:p>
          <w:p w14:paraId="2C89AB35" w14:textId="54813678" w:rsidR="0061283C" w:rsidRPr="0061283C" w:rsidRDefault="0061283C" w:rsidP="0061283C">
            <w:pPr>
              <w:numPr>
                <w:ilvl w:val="0"/>
                <w:numId w:val="21"/>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По-слабо развита система за събиране и рециклиране</w:t>
            </w:r>
            <w:r w:rsidRPr="0061283C">
              <w:rPr>
                <w:rFonts w:ascii="Times New Roman" w:eastAsia="Times New Roman" w:hAnsi="Times New Roman" w:cs="Times New Roman"/>
                <w:sz w:val="24"/>
                <w:szCs w:val="24"/>
                <w:lang w:val="bg-BG" w:eastAsia="bg-BG"/>
              </w:rPr>
              <w:br/>
              <w:t>МСП често разчи</w:t>
            </w:r>
            <w:r w:rsidR="00DA5FF0">
              <w:rPr>
                <w:rFonts w:ascii="Times New Roman" w:eastAsia="Times New Roman" w:hAnsi="Times New Roman" w:cs="Times New Roman"/>
                <w:sz w:val="24"/>
                <w:szCs w:val="24"/>
                <w:lang w:val="bg-BG" w:eastAsia="bg-BG"/>
              </w:rPr>
              <w:t>тат на колективни организации -</w:t>
            </w:r>
            <w:r w:rsidRPr="0061283C">
              <w:rPr>
                <w:rFonts w:ascii="Times New Roman" w:eastAsia="Times New Roman" w:hAnsi="Times New Roman" w:cs="Times New Roman"/>
                <w:sz w:val="24"/>
                <w:szCs w:val="24"/>
                <w:lang w:val="bg-BG" w:eastAsia="bg-BG"/>
              </w:rPr>
              <w:t xml:space="preserve"> при недофинансиране услугата може да се влоши. </w:t>
            </w:r>
          </w:p>
          <w:p w14:paraId="3879D125" w14:textId="18833363" w:rsidR="0061283C" w:rsidRPr="0061283C" w:rsidRDefault="0061283C" w:rsidP="0061283C">
            <w:pPr>
              <w:numPr>
                <w:ilvl w:val="0"/>
                <w:numId w:val="21"/>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Повишен регулаторен риск в бъдеще</w:t>
            </w:r>
            <w:r w:rsidR="00DA5FF0">
              <w:rPr>
                <w:rFonts w:ascii="Times New Roman" w:eastAsia="Times New Roman" w:hAnsi="Times New Roman" w:cs="Times New Roman"/>
                <w:sz w:val="24"/>
                <w:szCs w:val="24"/>
                <w:lang w:val="bg-BG" w:eastAsia="bg-BG"/>
              </w:rPr>
              <w:br/>
              <w:t>Възможно е внезапно увеличение на таксите и въвеждане на по-строги изисиквания което ще създаде несигурност в бизнеса.</w:t>
            </w:r>
          </w:p>
          <w:p w14:paraId="76F53A8B" w14:textId="77777777" w:rsidR="0061283C" w:rsidRPr="0061283C" w:rsidRDefault="0061283C" w:rsidP="0061283C">
            <w:pPr>
              <w:numPr>
                <w:ilvl w:val="0"/>
                <w:numId w:val="21"/>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Нелоялна конкуренция</w:t>
            </w:r>
            <w:r w:rsidRPr="0061283C">
              <w:rPr>
                <w:rFonts w:ascii="Times New Roman" w:eastAsia="Times New Roman" w:hAnsi="Times New Roman" w:cs="Times New Roman"/>
                <w:sz w:val="24"/>
                <w:szCs w:val="24"/>
                <w:lang w:val="bg-BG" w:eastAsia="bg-BG"/>
              </w:rPr>
              <w:br/>
              <w:t xml:space="preserve">По-ниските такси могат да насърчат „сивия сектор“ (нерегистрирани вносители). </w:t>
            </w:r>
          </w:p>
          <w:p w14:paraId="38D3EE6B" w14:textId="51804F0F" w:rsidR="0061283C" w:rsidRPr="0061283C" w:rsidRDefault="0061283C" w:rsidP="0061283C">
            <w:pPr>
              <w:numPr>
                <w:ilvl w:val="0"/>
                <w:numId w:val="21"/>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По-нисък стимул за екодизайн</w:t>
            </w:r>
            <w:r w:rsidRPr="0061283C">
              <w:rPr>
                <w:rFonts w:ascii="Times New Roman" w:eastAsia="Times New Roman" w:hAnsi="Times New Roman" w:cs="Times New Roman"/>
                <w:sz w:val="24"/>
                <w:szCs w:val="24"/>
                <w:lang w:val="bg-BG" w:eastAsia="bg-BG"/>
              </w:rPr>
              <w:br/>
              <w:t>МС</w:t>
            </w:r>
            <w:r w:rsidR="00DA5FF0">
              <w:rPr>
                <w:rFonts w:ascii="Times New Roman" w:eastAsia="Times New Roman" w:hAnsi="Times New Roman" w:cs="Times New Roman"/>
                <w:sz w:val="24"/>
                <w:szCs w:val="24"/>
                <w:lang w:val="bg-BG" w:eastAsia="bg-BG"/>
              </w:rPr>
              <w:t>П може да отложат инвестиции в по-екологични продукти и по-дълготрайни решения.</w:t>
            </w:r>
          </w:p>
          <w:p w14:paraId="5AE1C9C5" w14:textId="39D5480C" w:rsidR="0061283C" w:rsidRDefault="0061283C" w:rsidP="0061283C">
            <w:pPr>
              <w:numPr>
                <w:ilvl w:val="0"/>
                <w:numId w:val="21"/>
              </w:numPr>
              <w:spacing w:before="100" w:beforeAutospacing="1" w:after="100" w:afterAutospacing="1" w:line="240" w:lineRule="auto"/>
              <w:rPr>
                <w:rFonts w:ascii="Times New Roman" w:eastAsia="Times New Roman" w:hAnsi="Times New Roman" w:cs="Times New Roman"/>
                <w:sz w:val="24"/>
                <w:szCs w:val="24"/>
                <w:lang w:val="bg-BG" w:eastAsia="bg-BG"/>
              </w:rPr>
            </w:pPr>
            <w:r w:rsidRPr="0061283C">
              <w:rPr>
                <w:rFonts w:ascii="Times New Roman" w:eastAsia="Times New Roman" w:hAnsi="Times New Roman" w:cs="Times New Roman"/>
                <w:b/>
                <w:bCs/>
                <w:sz w:val="24"/>
                <w:szCs w:val="24"/>
                <w:lang w:val="bg-BG" w:eastAsia="bg-BG"/>
              </w:rPr>
              <w:t>Репутационен риск</w:t>
            </w:r>
            <w:r w:rsidRPr="0061283C">
              <w:rPr>
                <w:rFonts w:ascii="Times New Roman" w:eastAsia="Times New Roman" w:hAnsi="Times New Roman" w:cs="Times New Roman"/>
                <w:sz w:val="24"/>
                <w:szCs w:val="24"/>
                <w:lang w:val="bg-BG" w:eastAsia="bg-BG"/>
              </w:rPr>
              <w:br/>
              <w:t>Клиентите и партньорите стават все по-чувствител</w:t>
            </w:r>
            <w:r w:rsidR="00DA5FF0">
              <w:rPr>
                <w:rFonts w:ascii="Times New Roman" w:eastAsia="Times New Roman" w:hAnsi="Times New Roman" w:cs="Times New Roman"/>
                <w:sz w:val="24"/>
                <w:szCs w:val="24"/>
                <w:lang w:val="bg-BG" w:eastAsia="bg-BG"/>
              </w:rPr>
              <w:t xml:space="preserve">ни към устойчивостта, </w:t>
            </w:r>
            <w:r w:rsidRPr="0061283C">
              <w:rPr>
                <w:rFonts w:ascii="Times New Roman" w:eastAsia="Times New Roman" w:hAnsi="Times New Roman" w:cs="Times New Roman"/>
                <w:sz w:val="24"/>
                <w:szCs w:val="24"/>
                <w:lang w:val="bg-BG" w:eastAsia="bg-BG"/>
              </w:rPr>
              <w:t>МСП може да изглеждат по-малко отговорни.</w:t>
            </w:r>
          </w:p>
          <w:p w14:paraId="3406EC39" w14:textId="77777777" w:rsidR="007342F6" w:rsidRDefault="00E44DE0" w:rsidP="007342F6">
            <w:pPr>
              <w:spacing w:after="120" w:line="240" w:lineRule="auto"/>
              <w:jc w:val="both"/>
              <w:rPr>
                <w:rFonts w:ascii="Times New Roman" w:eastAsia="Times New Roman" w:hAnsi="Times New Roman" w:cs="Times New Roman"/>
                <w:i/>
                <w:sz w:val="16"/>
                <w:szCs w:val="16"/>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sidR="007342F6" w:rsidRPr="008D11B8">
              <w:rPr>
                <w:rFonts w:ascii="Times New Roman" w:eastAsia="Times New Roman" w:hAnsi="Times New Roman" w:cs="Times New Roman"/>
                <w:sz w:val="24"/>
                <w:szCs w:val="24"/>
                <w:lang w:val="bg-BG"/>
              </w:rPr>
              <w:t>Този вариант не е свързан с промяна в административната тежест, тъй като не се променя по никакъв начин регулаторната рамка.</w:t>
            </w:r>
            <w:r w:rsidRPr="00076E63">
              <w:rPr>
                <w:rFonts w:ascii="Times New Roman" w:eastAsia="Times New Roman" w:hAnsi="Times New Roman" w:cs="Times New Roman"/>
                <w:i/>
                <w:sz w:val="16"/>
                <w:szCs w:val="16"/>
                <w:lang w:val="bg-BG"/>
              </w:rPr>
              <w:t xml:space="preserve"> </w:t>
            </w:r>
          </w:p>
          <w:p w14:paraId="527F64D6" w14:textId="5EA67C99" w:rsidR="00E44DE0" w:rsidRPr="00076E63" w:rsidRDefault="00E44DE0" w:rsidP="007342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(въздействията върху малките и средните предприятия; административна тежест)</w:t>
            </w:r>
          </w:p>
          <w:p w14:paraId="15CD9AA5" w14:textId="45D68F65" w:rsidR="0078311F" w:rsidRPr="0078311F" w:rsidRDefault="0078311F" w:rsidP="0078311F">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2B36BF9C" w:rsidR="00E44DE0" w:rsidRPr="00C05484" w:rsidRDefault="0078311F" w:rsidP="00C05484">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7F06F6" w:rsidRPr="003C124D" w14:paraId="061F8D4E" w14:textId="77777777" w:rsidTr="00C93DF1">
        <w:tc>
          <w:tcPr>
            <w:tcW w:w="10266" w:type="dxa"/>
            <w:gridSpan w:val="3"/>
          </w:tcPr>
          <w:p w14:paraId="427D7AC1"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5. Сравняване на вариантите:</w:t>
            </w:r>
          </w:p>
          <w:p w14:paraId="62DB1BC6" w14:textId="77777777" w:rsidR="007F06F6" w:rsidRDefault="007F06F6" w:rsidP="007F06F6">
            <w:pPr>
              <w:spacing w:before="120" w:after="120" w:line="240" w:lineRule="auto"/>
              <w:jc w:val="both"/>
              <w:rPr>
                <w:rFonts w:ascii="Times New Roman" w:eastAsia="Times New Roman" w:hAnsi="Times New Roman" w:cs="Times New Roman"/>
                <w:sz w:val="24"/>
                <w:szCs w:val="24"/>
                <w:lang w:val="bg-BG"/>
              </w:rPr>
            </w:pPr>
            <w:r w:rsidRPr="00C93DF1">
              <w:rPr>
                <w:rFonts w:ascii="Times New Roman" w:eastAsia="Times New Roman" w:hAnsi="Times New Roman" w:cs="Times New Roman"/>
                <w:b/>
                <w:sz w:val="24"/>
                <w:szCs w:val="24"/>
                <w:lang w:val="bg-BG"/>
              </w:rPr>
              <w:t xml:space="preserve">Степени на </w:t>
            </w:r>
            <w:r>
              <w:rPr>
                <w:rFonts w:ascii="Times New Roman" w:eastAsia="Times New Roman" w:hAnsi="Times New Roman" w:cs="Times New Roman"/>
                <w:b/>
                <w:sz w:val="24"/>
                <w:szCs w:val="24"/>
                <w:lang w:val="bg-BG"/>
              </w:rPr>
              <w:t>изпълнение по критерии</w:t>
            </w:r>
            <w:r w:rsidRPr="00C93DF1">
              <w:rPr>
                <w:rFonts w:ascii="Times New Roman" w:eastAsia="Times New Roman" w:hAnsi="Times New Roman" w:cs="Times New Roman"/>
                <w:b/>
                <w:sz w:val="24"/>
                <w:szCs w:val="24"/>
                <w:lang w:val="bg-BG"/>
              </w:rPr>
              <w:t>:</w:t>
            </w:r>
            <w:r>
              <w:rPr>
                <w:rFonts w:ascii="Times New Roman" w:eastAsia="Times New Roman" w:hAnsi="Times New Roman" w:cs="Times New Roman"/>
                <w:sz w:val="24"/>
                <w:szCs w:val="24"/>
                <w:lang w:val="bg-BG"/>
              </w:rPr>
              <w:t xml:space="preserve"> 1) висока; 2) средна; 3) ниска.</w:t>
            </w:r>
          </w:p>
          <w:p w14:paraId="0AC556B8" w14:textId="7D45474A" w:rsidR="007F06F6" w:rsidRPr="00C93DF1" w:rsidRDefault="007F06F6" w:rsidP="007F06F6">
            <w:pPr>
              <w:spacing w:before="120" w:after="120" w:line="240" w:lineRule="auto"/>
              <w:jc w:val="both"/>
              <w:rPr>
                <w:rFonts w:ascii="Times New Roman" w:eastAsia="Times New Roman" w:hAnsi="Times New Roman" w:cs="Times New Roman"/>
                <w:b/>
                <w:sz w:val="24"/>
                <w:szCs w:val="24"/>
                <w:lang w:val="bg-BG"/>
              </w:rPr>
            </w:pPr>
            <w:r w:rsidRPr="00C93DF1">
              <w:rPr>
                <w:rFonts w:ascii="Times New Roman" w:eastAsia="Times New Roman" w:hAnsi="Times New Roman" w:cs="Times New Roman"/>
                <w:b/>
                <w:sz w:val="24"/>
                <w:szCs w:val="24"/>
                <w:lang w:val="bg-BG"/>
              </w:rPr>
              <w:t>5.1. По проблем 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3506"/>
              <w:gridCol w:w="1701"/>
              <w:gridCol w:w="1801"/>
            </w:tblGrid>
            <w:tr w:rsidR="00D83AFA" w:rsidRPr="00C96683" w14:paraId="49794837" w14:textId="77777777" w:rsidTr="00441F51">
              <w:trPr>
                <w:trHeight w:val="357"/>
                <w:jc w:val="center"/>
              </w:trPr>
              <w:tc>
                <w:tcPr>
                  <w:tcW w:w="397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04142EDD" w14:textId="77777777" w:rsidR="00D83AFA" w:rsidRPr="00C96683" w:rsidRDefault="00D83AFA" w:rsidP="00D83AFA">
                  <w:pPr>
                    <w:spacing w:after="0" w:line="240" w:lineRule="auto"/>
                    <w:contextualSpacing/>
                    <w:jc w:val="center"/>
                    <w:rPr>
                      <w:rFonts w:ascii="Times New Roman" w:eastAsia="Times New Roman" w:hAnsi="Times New Roman" w:cs="Times New Roman"/>
                      <w:b/>
                      <w:sz w:val="20"/>
                      <w:szCs w:val="20"/>
                      <w:highlight w:val="yellow"/>
                      <w:lang w:val="bg-BG"/>
                    </w:rPr>
                  </w:pP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155692C7" w14:textId="77777777" w:rsidR="00D83AFA" w:rsidRPr="00C96683" w:rsidRDefault="00D83AFA" w:rsidP="00D83AFA">
                  <w:pPr>
                    <w:spacing w:after="0" w:line="240" w:lineRule="auto"/>
                    <w:ind w:left="-160"/>
                    <w:contextualSpacing/>
                    <w:jc w:val="center"/>
                    <w:rPr>
                      <w:rFonts w:ascii="Times New Roman" w:eastAsia="Times New Roman" w:hAnsi="Times New Roman" w:cs="Times New Roman"/>
                      <w:b/>
                      <w:sz w:val="20"/>
                      <w:szCs w:val="20"/>
                      <w:lang w:val="bg-BG"/>
                    </w:rPr>
                  </w:pPr>
                  <w:r w:rsidRPr="00C96683">
                    <w:rPr>
                      <w:rFonts w:ascii="Times New Roman" w:eastAsia="Times New Roman" w:hAnsi="Times New Roman" w:cs="Times New Roman"/>
                      <w:b/>
                      <w:sz w:val="20"/>
                      <w:szCs w:val="20"/>
                      <w:lang w:val="bg-BG"/>
                    </w:rPr>
                    <w:t>Вариант 1</w:t>
                  </w:r>
                </w:p>
                <w:p w14:paraId="3549A280" w14:textId="77777777" w:rsidR="00D83AFA" w:rsidRPr="00C96683" w:rsidRDefault="00D83AFA" w:rsidP="00D83AFA">
                  <w:pPr>
                    <w:spacing w:after="0" w:line="240" w:lineRule="auto"/>
                    <w:ind w:left="-160"/>
                    <w:contextualSpacing/>
                    <w:jc w:val="center"/>
                    <w:rPr>
                      <w:rFonts w:ascii="Times New Roman" w:eastAsia="Times New Roman" w:hAnsi="Times New Roman" w:cs="Times New Roman"/>
                      <w:b/>
                      <w:sz w:val="20"/>
                      <w:szCs w:val="20"/>
                      <w:highlight w:val="yellow"/>
                      <w:lang w:val="bg-BG"/>
                    </w:rPr>
                  </w:pPr>
                  <w:r w:rsidRPr="00C96683">
                    <w:rPr>
                      <w:rFonts w:ascii="Times New Roman" w:eastAsia="Times New Roman" w:hAnsi="Times New Roman" w:cs="Times New Roman"/>
                      <w:b/>
                      <w:sz w:val="20"/>
                      <w:szCs w:val="20"/>
                      <w:lang w:val="bg-BG"/>
                    </w:rPr>
                    <w:t xml:space="preserve"> „Без действие“</w:t>
                  </w:r>
                </w:p>
              </w:tc>
              <w:tc>
                <w:tcPr>
                  <w:tcW w:w="1801" w:type="dxa"/>
                  <w:tcBorders>
                    <w:top w:val="single" w:sz="12" w:space="0" w:color="auto"/>
                    <w:left w:val="single" w:sz="12" w:space="0" w:color="auto"/>
                    <w:bottom w:val="single" w:sz="12" w:space="0" w:color="auto"/>
                    <w:right w:val="single" w:sz="12" w:space="0" w:color="auto"/>
                  </w:tcBorders>
                  <w:shd w:val="clear" w:color="auto" w:fill="D9D9D9"/>
                  <w:vAlign w:val="center"/>
                </w:tcPr>
                <w:p w14:paraId="64EBE9E8" w14:textId="77777777" w:rsidR="00D83AFA" w:rsidRPr="00C96683" w:rsidRDefault="00D83AFA" w:rsidP="00D83AFA">
                  <w:pPr>
                    <w:spacing w:after="0" w:line="240" w:lineRule="auto"/>
                    <w:ind w:left="-160"/>
                    <w:contextualSpacing/>
                    <w:jc w:val="center"/>
                    <w:rPr>
                      <w:rFonts w:ascii="Times New Roman" w:eastAsia="Times New Roman" w:hAnsi="Times New Roman" w:cs="Times New Roman"/>
                      <w:b/>
                      <w:sz w:val="20"/>
                      <w:szCs w:val="20"/>
                      <w:highlight w:val="yellow"/>
                      <w:lang w:val="bg-BG"/>
                    </w:rPr>
                  </w:pPr>
                  <w:r w:rsidRPr="00C96683">
                    <w:rPr>
                      <w:rFonts w:ascii="Times New Roman" w:eastAsia="Times New Roman" w:hAnsi="Times New Roman" w:cs="Times New Roman"/>
                      <w:b/>
                      <w:sz w:val="20"/>
                      <w:szCs w:val="20"/>
                      <w:lang w:val="bg-BG"/>
                    </w:rPr>
                    <w:t>Вариант 2</w:t>
                  </w:r>
                </w:p>
              </w:tc>
            </w:tr>
            <w:tr w:rsidR="00D83AFA" w:rsidRPr="00C96683" w14:paraId="43432EB8" w14:textId="77777777" w:rsidTr="00441F51">
              <w:trPr>
                <w:trHeight w:val="580"/>
                <w:jc w:val="center"/>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4CD44524" w14:textId="77777777" w:rsidR="00D83AFA" w:rsidRPr="00C96683" w:rsidRDefault="00D83AFA" w:rsidP="00D83AFA">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C96683">
                    <w:rPr>
                      <w:rFonts w:ascii="Times New Roman" w:eastAsia="Times New Roman" w:hAnsi="Times New Roman" w:cs="Times New Roman"/>
                      <w:b/>
                      <w:bCs/>
                      <w:i/>
                      <w:iCs/>
                      <w:sz w:val="20"/>
                      <w:szCs w:val="20"/>
                      <w:lang w:val="bg-BG"/>
                    </w:rPr>
                    <w:t>Ефективност</w:t>
                  </w:r>
                </w:p>
              </w:tc>
              <w:tc>
                <w:tcPr>
                  <w:tcW w:w="3506" w:type="dxa"/>
                  <w:tcBorders>
                    <w:top w:val="single" w:sz="12" w:space="0" w:color="auto"/>
                    <w:left w:val="single" w:sz="12" w:space="0" w:color="auto"/>
                    <w:bottom w:val="single" w:sz="12" w:space="0" w:color="auto"/>
                    <w:right w:val="single" w:sz="12" w:space="0" w:color="auto"/>
                  </w:tcBorders>
                  <w:shd w:val="clear" w:color="auto" w:fill="FFFFFF"/>
                  <w:vAlign w:val="center"/>
                </w:tcPr>
                <w:p w14:paraId="64A72D2F" w14:textId="77777777" w:rsidR="003A024D" w:rsidRPr="003A024D" w:rsidRDefault="003A024D" w:rsidP="003A024D">
                  <w:pPr>
                    <w:jc w:val="both"/>
                    <w:rPr>
                      <w:rFonts w:ascii="Times New Roman" w:eastAsia="Times New Roman" w:hAnsi="Times New Roman" w:cs="Times New Roman"/>
                      <w:b/>
                      <w:sz w:val="20"/>
                      <w:szCs w:val="20"/>
                      <w:u w:val="single"/>
                      <w:lang w:val="bg-BG"/>
                    </w:rPr>
                  </w:pPr>
                  <w:r w:rsidRPr="003A024D">
                    <w:rPr>
                      <w:rFonts w:ascii="Times New Roman" w:eastAsia="Times New Roman" w:hAnsi="Times New Roman" w:cs="Times New Roman"/>
                      <w:b/>
                      <w:sz w:val="20"/>
                      <w:szCs w:val="20"/>
                      <w:u w:val="single"/>
                      <w:lang w:val="bg-BG"/>
                    </w:rPr>
                    <w:t>Цел 1: Намаляване размера на дължимите продуктови такси за пуснатото на пазара електрическо и електронно оборудване</w:t>
                  </w:r>
                </w:p>
                <w:p w14:paraId="046EC91A" w14:textId="04B31131" w:rsidR="00D83AFA" w:rsidRPr="00BE042D" w:rsidRDefault="00D83AFA" w:rsidP="00D83AFA">
                  <w:pPr>
                    <w:jc w:val="both"/>
                    <w:rPr>
                      <w:rFonts w:ascii="Times New Roman" w:eastAsia="Times New Roman" w:hAnsi="Times New Roman" w:cs="Times New Roman"/>
                      <w:b/>
                      <w:sz w:val="20"/>
                      <w:szCs w:val="20"/>
                      <w:lang w:val="bg-BG"/>
                    </w:rPr>
                  </w:pP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925A258" w14:textId="11EA0470" w:rsidR="00D83AFA" w:rsidRPr="00C96683" w:rsidRDefault="00C40C9F" w:rsidP="00D83AFA">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51"/>
                      <w:sz w:val="18"/>
                      <w:szCs w:val="18"/>
                      <w:lang w:val="bg-BG"/>
                    </w:rPr>
                  </w:pPr>
                  <w:r>
                    <w:rPr>
                      <w:rFonts w:ascii="Times New Roman" w:eastAsia="Times New Roman" w:hAnsi="Times New Roman" w:cs="Times New Roman"/>
                      <w:sz w:val="20"/>
                      <w:szCs w:val="20"/>
                      <w:lang w:val="bg-BG"/>
                    </w:rPr>
                    <w:t>3</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3D1D0C7" w14:textId="57A0B603" w:rsidR="00D83AFA" w:rsidRPr="00C96683" w:rsidRDefault="00C40C9F" w:rsidP="00D83AFA">
                  <w:pPr>
                    <w:widowControl w:val="0"/>
                    <w:kinsoku w:val="0"/>
                    <w:overflowPunct w:val="0"/>
                    <w:autoSpaceDE w:val="0"/>
                    <w:autoSpaceDN w:val="0"/>
                    <w:adjustRightInd w:val="0"/>
                    <w:spacing w:before="40" w:after="0" w:line="240" w:lineRule="auto"/>
                    <w:ind w:right="1"/>
                    <w:jc w:val="center"/>
                    <w:rPr>
                      <w:rFonts w:ascii="Times New Roman" w:eastAsia="Times New Roman" w:hAnsi="Times New Roman" w:cs="Times New Roman"/>
                      <w:w w:val="111"/>
                      <w:sz w:val="20"/>
                      <w:szCs w:val="20"/>
                      <w:lang w:val="bg-BG"/>
                    </w:rPr>
                  </w:pPr>
                  <w:r>
                    <w:rPr>
                      <w:rFonts w:ascii="Times New Roman" w:eastAsia="Times New Roman" w:hAnsi="Times New Roman" w:cs="Times New Roman"/>
                      <w:w w:val="111"/>
                      <w:sz w:val="20"/>
                      <w:szCs w:val="20"/>
                      <w:lang w:val="bg-BG"/>
                    </w:rPr>
                    <w:t>2</w:t>
                  </w:r>
                </w:p>
              </w:tc>
            </w:tr>
            <w:tr w:rsidR="00D83AFA" w:rsidRPr="00C96683" w14:paraId="250CB0F6" w14:textId="77777777" w:rsidTr="00441F51">
              <w:trPr>
                <w:trHeight w:val="388"/>
                <w:jc w:val="center"/>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03642D2D" w14:textId="48344FAB" w:rsidR="00D83AFA" w:rsidRPr="00C96683" w:rsidRDefault="00D83AFA" w:rsidP="00A92E32">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C96683">
                    <w:rPr>
                      <w:rFonts w:ascii="Times New Roman" w:eastAsia="Times New Roman" w:hAnsi="Times New Roman" w:cs="Times New Roman"/>
                      <w:b/>
                      <w:bCs/>
                      <w:i/>
                      <w:iCs/>
                      <w:sz w:val="20"/>
                      <w:szCs w:val="20"/>
                      <w:lang w:val="bg-BG"/>
                    </w:rPr>
                    <w:t>Ефикасност</w:t>
                  </w:r>
                </w:p>
              </w:tc>
              <w:tc>
                <w:tcPr>
                  <w:tcW w:w="3506" w:type="dxa"/>
                  <w:tcBorders>
                    <w:top w:val="single" w:sz="12" w:space="0" w:color="auto"/>
                    <w:left w:val="single" w:sz="12" w:space="0" w:color="auto"/>
                    <w:bottom w:val="single" w:sz="12" w:space="0" w:color="auto"/>
                    <w:right w:val="single" w:sz="12" w:space="0" w:color="auto"/>
                  </w:tcBorders>
                  <w:shd w:val="clear" w:color="auto" w:fill="FFFFFF"/>
                  <w:vAlign w:val="center"/>
                </w:tcPr>
                <w:p w14:paraId="030BE226" w14:textId="77777777" w:rsidR="003A024D" w:rsidRPr="003A024D" w:rsidRDefault="003A024D" w:rsidP="003A024D">
                  <w:pPr>
                    <w:jc w:val="both"/>
                    <w:rPr>
                      <w:rFonts w:ascii="Times New Roman" w:eastAsia="Times New Roman" w:hAnsi="Times New Roman" w:cs="Times New Roman"/>
                      <w:b/>
                      <w:sz w:val="20"/>
                      <w:szCs w:val="20"/>
                      <w:u w:val="single"/>
                      <w:lang w:val="bg-BG"/>
                    </w:rPr>
                  </w:pPr>
                  <w:r w:rsidRPr="003A024D">
                    <w:rPr>
                      <w:rFonts w:ascii="Times New Roman" w:eastAsia="Times New Roman" w:hAnsi="Times New Roman" w:cs="Times New Roman"/>
                      <w:b/>
                      <w:sz w:val="20"/>
                      <w:szCs w:val="20"/>
                      <w:u w:val="single"/>
                      <w:lang w:val="bg-BG"/>
                    </w:rPr>
                    <w:t>Цел 1: Намаляване размера на дължимите продуктови такси за пуснатото на пазара електрическо и електронно оборудване</w:t>
                  </w:r>
                </w:p>
                <w:p w14:paraId="3A337D68" w14:textId="7FBFFAF7" w:rsidR="00D83AFA" w:rsidRPr="00BE042D" w:rsidRDefault="00D83AFA" w:rsidP="00D83AFA">
                  <w:pPr>
                    <w:jc w:val="both"/>
                    <w:rPr>
                      <w:rFonts w:ascii="Times New Roman" w:eastAsia="Times New Roman" w:hAnsi="Times New Roman" w:cs="Times New Roman"/>
                      <w:b/>
                      <w:sz w:val="20"/>
                      <w:szCs w:val="20"/>
                      <w:lang w:val="bg-BG"/>
                    </w:rPr>
                  </w:pP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tcPr>
                <w:p w14:paraId="645ED03A" w14:textId="5A575862" w:rsidR="00D83AFA" w:rsidRPr="00C96683" w:rsidRDefault="00C40C9F" w:rsidP="00D83AFA">
                  <w:pPr>
                    <w:widowControl w:val="0"/>
                    <w:kinsoku w:val="0"/>
                    <w:overflowPunct w:val="0"/>
                    <w:autoSpaceDE w:val="0"/>
                    <w:autoSpaceDN w:val="0"/>
                    <w:adjustRightInd w:val="0"/>
                    <w:spacing w:before="33" w:after="0" w:line="240" w:lineRule="auto"/>
                    <w:ind w:right="1"/>
                    <w:jc w:val="center"/>
                    <w:rPr>
                      <w:rFonts w:ascii="Times New Roman" w:eastAsia="Times New Roman" w:hAnsi="Times New Roman" w:cs="Times New Roman"/>
                      <w:w w:val="151"/>
                      <w:sz w:val="20"/>
                      <w:szCs w:val="20"/>
                      <w:lang w:val="bg-BG"/>
                    </w:rPr>
                  </w:pPr>
                  <w:r>
                    <w:rPr>
                      <w:rFonts w:ascii="Times New Roman" w:eastAsia="Times New Roman" w:hAnsi="Times New Roman" w:cs="Times New Roman"/>
                      <w:w w:val="111"/>
                      <w:sz w:val="20"/>
                      <w:szCs w:val="20"/>
                      <w:lang w:val="bg-BG"/>
                    </w:rPr>
                    <w:t>2</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4672BEC" w14:textId="0D4336F5" w:rsidR="00D83AFA" w:rsidRPr="00C96683" w:rsidRDefault="00C40C9F" w:rsidP="00D83AFA">
                  <w:pPr>
                    <w:widowControl w:val="0"/>
                    <w:kinsoku w:val="0"/>
                    <w:overflowPunct w:val="0"/>
                    <w:autoSpaceDE w:val="0"/>
                    <w:autoSpaceDN w:val="0"/>
                    <w:adjustRightInd w:val="0"/>
                    <w:spacing w:before="33" w:after="0" w:line="240" w:lineRule="auto"/>
                    <w:ind w:left="21" w:right="21"/>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3</w:t>
                  </w:r>
                </w:p>
              </w:tc>
            </w:tr>
            <w:tr w:rsidR="00D83AFA" w:rsidRPr="002652B7" w14:paraId="049BC44F" w14:textId="77777777" w:rsidTr="00441F51">
              <w:trPr>
                <w:trHeight w:val="541"/>
                <w:jc w:val="center"/>
              </w:trPr>
              <w:tc>
                <w:tcPr>
                  <w:tcW w:w="471" w:type="dxa"/>
                  <w:tcBorders>
                    <w:top w:val="single" w:sz="12" w:space="0" w:color="auto"/>
                    <w:left w:val="single" w:sz="12" w:space="0" w:color="auto"/>
                    <w:right w:val="single" w:sz="12" w:space="0" w:color="auto"/>
                  </w:tcBorders>
                  <w:shd w:val="clear" w:color="auto" w:fill="D9D9D9"/>
                  <w:textDirection w:val="btLr"/>
                  <w:vAlign w:val="center"/>
                </w:tcPr>
                <w:p w14:paraId="72ED97FE" w14:textId="77777777" w:rsidR="00D83AFA" w:rsidRPr="00C96683" w:rsidRDefault="00D83AFA" w:rsidP="00D83AFA">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C96683">
                    <w:rPr>
                      <w:rFonts w:ascii="Times New Roman" w:eastAsia="Times New Roman" w:hAnsi="Times New Roman" w:cs="Times New Roman"/>
                      <w:b/>
                      <w:bCs/>
                      <w:i/>
                      <w:iCs/>
                      <w:sz w:val="20"/>
                      <w:szCs w:val="20"/>
                      <w:lang w:val="bg-BG"/>
                    </w:rPr>
                    <w:t>Съгласуваност</w:t>
                  </w:r>
                </w:p>
              </w:tc>
              <w:tc>
                <w:tcPr>
                  <w:tcW w:w="3506" w:type="dxa"/>
                  <w:tcBorders>
                    <w:top w:val="single" w:sz="12" w:space="0" w:color="auto"/>
                    <w:left w:val="single" w:sz="12" w:space="0" w:color="auto"/>
                    <w:bottom w:val="single" w:sz="12" w:space="0" w:color="auto"/>
                    <w:right w:val="single" w:sz="12" w:space="0" w:color="auto"/>
                  </w:tcBorders>
                  <w:shd w:val="clear" w:color="auto" w:fill="FFFFFF"/>
                  <w:vAlign w:val="center"/>
                </w:tcPr>
                <w:p w14:paraId="07E1AF4D" w14:textId="77777777" w:rsidR="003A024D" w:rsidRPr="003A024D" w:rsidRDefault="003A024D" w:rsidP="003A024D">
                  <w:pPr>
                    <w:jc w:val="both"/>
                    <w:rPr>
                      <w:rFonts w:ascii="Times New Roman" w:eastAsia="Times New Roman" w:hAnsi="Times New Roman" w:cs="Times New Roman"/>
                      <w:b/>
                      <w:sz w:val="20"/>
                      <w:szCs w:val="20"/>
                      <w:u w:val="single"/>
                      <w:lang w:val="bg-BG"/>
                    </w:rPr>
                  </w:pPr>
                  <w:r w:rsidRPr="003A024D">
                    <w:rPr>
                      <w:rFonts w:ascii="Times New Roman" w:eastAsia="Times New Roman" w:hAnsi="Times New Roman" w:cs="Times New Roman"/>
                      <w:b/>
                      <w:sz w:val="20"/>
                      <w:szCs w:val="20"/>
                      <w:u w:val="single"/>
                      <w:lang w:val="bg-BG"/>
                    </w:rPr>
                    <w:t>Цел 1: Намаляване размера на дължимите продуктови такси за пуснатото на пазара електрическо и електронно оборудване</w:t>
                  </w:r>
                </w:p>
                <w:p w14:paraId="6EA12E58" w14:textId="71AFFF4A" w:rsidR="00D83AFA" w:rsidRPr="00BE042D" w:rsidRDefault="00D83AFA" w:rsidP="00D83AFA">
                  <w:pPr>
                    <w:jc w:val="both"/>
                    <w:rPr>
                      <w:rFonts w:ascii="Times New Roman" w:eastAsia="Times New Roman" w:hAnsi="Times New Roman" w:cs="Times New Roman"/>
                      <w:b/>
                      <w:sz w:val="20"/>
                      <w:szCs w:val="20"/>
                      <w:lang w:val="bg-BG"/>
                    </w:rPr>
                  </w:pP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tcPr>
                <w:p w14:paraId="387BC5F4" w14:textId="7BAB24FA" w:rsidR="00D83AFA" w:rsidRPr="00C96683" w:rsidRDefault="00C40C9F" w:rsidP="00D83AFA">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1</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14:paraId="7F65EF56" w14:textId="1666A0D4" w:rsidR="00D83AFA" w:rsidRPr="00C96683" w:rsidRDefault="00C40C9F" w:rsidP="00D83AFA">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Pr>
                      <w:rFonts w:ascii="Times New Roman" w:eastAsia="Times New Roman" w:hAnsi="Times New Roman" w:cs="Times New Roman"/>
                      <w:sz w:val="20"/>
                      <w:szCs w:val="20"/>
                      <w:lang w:val="bg-BG"/>
                    </w:rPr>
                    <w:t>1</w:t>
                  </w:r>
                </w:p>
              </w:tc>
            </w:tr>
          </w:tbl>
          <w:p w14:paraId="76055530" w14:textId="77777777"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p>
          <w:p w14:paraId="45A218DC" w14:textId="44E91EFD"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1.1. </w:t>
            </w:r>
            <w:r w:rsidRPr="00076E63">
              <w:rPr>
                <w:rFonts w:ascii="Times New Roman" w:eastAsia="Times New Roman" w:hAnsi="Times New Roman" w:cs="Times New Roman"/>
                <w:i/>
                <w:sz w:val="16"/>
                <w:szCs w:val="16"/>
                <w:lang w:val="bg-BG"/>
              </w:rPr>
              <w:t xml:space="preserve">Сравнете вариантите чрез сравняване на ключовите </w:t>
            </w:r>
            <w:r>
              <w:rPr>
                <w:rFonts w:ascii="Times New Roman" w:eastAsia="Times New Roman" w:hAnsi="Times New Roman" w:cs="Times New Roman"/>
                <w:i/>
                <w:sz w:val="16"/>
                <w:szCs w:val="16"/>
                <w:lang w:val="bg-BG"/>
              </w:rPr>
              <w:t>и</w:t>
            </w:r>
            <w:r w:rsidRPr="00076E63">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7F06F6" w:rsidRPr="00C93DF1" w:rsidRDefault="007F06F6" w:rsidP="007F06F6">
            <w:pPr>
              <w:spacing w:after="120" w:line="240" w:lineRule="auto"/>
              <w:jc w:val="center"/>
              <w:rPr>
                <w:rFonts w:ascii="Times New Roman" w:eastAsia="Times New Roman" w:hAnsi="Times New Roman" w:cs="Times New Roman"/>
                <w:b/>
                <w:i/>
                <w:sz w:val="16"/>
                <w:szCs w:val="16"/>
                <w:lang w:val="bg-BG"/>
              </w:rPr>
            </w:pPr>
            <w:r w:rsidRPr="00076E63">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Pr>
                <w:rFonts w:ascii="Times New Roman" w:eastAsia="Times New Roman" w:hAnsi="Times New Roman" w:cs="Times New Roman"/>
                <w:i/>
                <w:sz w:val="16"/>
                <w:szCs w:val="16"/>
                <w:lang w:val="bg-BG"/>
              </w:rPr>
              <w:t xml:space="preserve">действащите </w:t>
            </w:r>
            <w:r w:rsidRPr="00076E63">
              <w:rPr>
                <w:rFonts w:ascii="Times New Roman" w:eastAsia="Times New Roman" w:hAnsi="Times New Roman" w:cs="Times New Roman"/>
                <w:i/>
                <w:sz w:val="16"/>
                <w:szCs w:val="16"/>
                <w:lang w:val="bg-BG"/>
              </w:rPr>
              <w:t>стратегически документи</w:t>
            </w:r>
            <w:r>
              <w:rPr>
                <w:rFonts w:ascii="Times New Roman" w:eastAsia="Times New Roman" w:hAnsi="Times New Roman" w:cs="Times New Roman"/>
                <w:i/>
                <w:sz w:val="16"/>
                <w:szCs w:val="16"/>
                <w:lang w:val="bg-BG"/>
              </w:rPr>
              <w:t>.</w:t>
            </w:r>
          </w:p>
        </w:tc>
      </w:tr>
      <w:tr w:rsidR="007F06F6" w:rsidRPr="00076E63" w14:paraId="3581DEA8" w14:textId="77777777" w:rsidTr="00C93DF1">
        <w:tc>
          <w:tcPr>
            <w:tcW w:w="10266" w:type="dxa"/>
            <w:gridSpan w:val="3"/>
          </w:tcPr>
          <w:p w14:paraId="212C3F3B"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 Избор на препоръчителен вариант:</w:t>
            </w:r>
          </w:p>
          <w:p w14:paraId="336A488C" w14:textId="6DE68F86" w:rsidR="007D51DE" w:rsidRPr="007D51DE" w:rsidRDefault="007D51DE" w:rsidP="007D51DE">
            <w:pPr>
              <w:spacing w:before="120" w:after="120" w:line="240" w:lineRule="auto"/>
              <w:jc w:val="both"/>
              <w:rPr>
                <w:rFonts w:ascii="Times New Roman" w:eastAsia="Times New Roman" w:hAnsi="Times New Roman" w:cs="Times New Roman"/>
                <w:b/>
                <w:sz w:val="24"/>
                <w:szCs w:val="24"/>
                <w:lang w:val="bg-BG"/>
              </w:rPr>
            </w:pPr>
            <w:r w:rsidRPr="007D51DE">
              <w:rPr>
                <w:rFonts w:ascii="Times New Roman" w:eastAsia="Times New Roman" w:hAnsi="Times New Roman" w:cs="Times New Roman"/>
                <w:b/>
                <w:sz w:val="24"/>
                <w:szCs w:val="24"/>
                <w:lang w:val="bg-BG"/>
              </w:rPr>
              <w:t>По Проблем 1:</w:t>
            </w:r>
            <w:r w:rsidRPr="007D51DE">
              <w:rPr>
                <w:rFonts w:ascii="Times New Roman" w:eastAsia="Times New Roman" w:hAnsi="Times New Roman" w:cs="Times New Roman"/>
                <w:b/>
                <w:bCs/>
                <w:sz w:val="24"/>
                <w:szCs w:val="24"/>
                <w:lang w:val="bg-BG"/>
              </w:rPr>
              <w:t xml:space="preserve"> Вариант 2 „</w:t>
            </w:r>
            <w:r w:rsidR="00607D13" w:rsidRPr="00607D13">
              <w:rPr>
                <w:rFonts w:ascii="Times New Roman" w:eastAsia="Times New Roman" w:hAnsi="Times New Roman" w:cs="Times New Roman"/>
                <w:b/>
                <w:bCs/>
                <w:sz w:val="24"/>
                <w:szCs w:val="24"/>
                <w:lang w:val="bg-BG"/>
              </w:rPr>
              <w:t>Приемане на ПМС за изменение и допълнение на Наредбата за определяне на реда и размера за заплащане на продуктова такса</w:t>
            </w:r>
            <w:r w:rsidRPr="007D51DE">
              <w:rPr>
                <w:rFonts w:ascii="Times New Roman" w:eastAsia="Times New Roman" w:hAnsi="Times New Roman" w:cs="Times New Roman"/>
                <w:b/>
                <w:bCs/>
                <w:sz w:val="24"/>
                <w:szCs w:val="24"/>
                <w:lang w:val="bg-BG"/>
              </w:rPr>
              <w:t>“.</w:t>
            </w:r>
          </w:p>
          <w:p w14:paraId="24F4F7D0" w14:textId="77777777" w:rsidR="00851E74" w:rsidRPr="00851E74" w:rsidRDefault="00851E74" w:rsidP="00851E74">
            <w:pPr>
              <w:spacing w:before="100" w:beforeAutospacing="1" w:after="100" w:afterAutospacing="1" w:line="276" w:lineRule="auto"/>
              <w:ind w:firstLine="567"/>
              <w:contextualSpacing/>
              <w:jc w:val="both"/>
              <w:rPr>
                <w:rFonts w:ascii="Times New Roman" w:eastAsia="Times New Roman" w:hAnsi="Times New Roman" w:cs="Times New Roman"/>
                <w:color w:val="222222"/>
                <w:sz w:val="24"/>
                <w:szCs w:val="24"/>
                <w:lang w:val="bg-BG" w:eastAsia="en-GB"/>
              </w:rPr>
            </w:pPr>
            <w:r w:rsidRPr="00851E74">
              <w:rPr>
                <w:rFonts w:ascii="Times New Roman" w:eastAsia="Times New Roman" w:hAnsi="Times New Roman" w:cs="Times New Roman"/>
                <w:color w:val="222222"/>
                <w:sz w:val="24"/>
                <w:szCs w:val="24"/>
                <w:lang w:val="bg-BG" w:eastAsia="en-GB"/>
              </w:rPr>
              <w:t>Възможно е в краткосрочен план да се наблюдава намаляване на постъпленията в ПУДООС от продуктови такси за част от категориите, доколкото ставките ще бъдат намалени. Това обаче не следва да се разглежда като неблагоприятен ефект сам по себе си, тъй като функцията на продуктовата такса по чл. 59 ЗУО не е да максимизира приходи, а да действа като икономически коректив при неизпълнение. Самият режим е построен така, че при участие в колективна система или при индивидуално изпълнение продуктова такса не се дължи. Поради това фискалният максимум не може да бъде водещият критерий за определяне на нейните равнища.</w:t>
            </w:r>
          </w:p>
          <w:p w14:paraId="64D3A9B2" w14:textId="77777777" w:rsidR="00851E74" w:rsidRPr="00851E74" w:rsidRDefault="00851E74" w:rsidP="00851E74">
            <w:pPr>
              <w:spacing w:before="100" w:beforeAutospacing="1" w:after="100" w:afterAutospacing="1" w:line="276" w:lineRule="auto"/>
              <w:ind w:firstLine="567"/>
              <w:contextualSpacing/>
              <w:jc w:val="both"/>
              <w:rPr>
                <w:rFonts w:ascii="Times New Roman" w:eastAsia="Times New Roman" w:hAnsi="Times New Roman" w:cs="Times New Roman"/>
                <w:color w:val="222222"/>
                <w:sz w:val="24"/>
                <w:szCs w:val="24"/>
                <w:lang w:val="bg-BG" w:eastAsia="en-GB"/>
              </w:rPr>
            </w:pPr>
            <w:r w:rsidRPr="00851E74">
              <w:rPr>
                <w:rFonts w:ascii="Times New Roman" w:eastAsia="Times New Roman" w:hAnsi="Times New Roman" w:cs="Times New Roman"/>
                <w:color w:val="222222"/>
                <w:sz w:val="24"/>
                <w:szCs w:val="24"/>
                <w:lang w:val="bg-BG" w:eastAsia="en-GB"/>
              </w:rPr>
              <w:t>Финансовият положителен ефект от проекта следва да се търси в друго: в намаляване на прекомерен разходен компонент, който наредбата сама квалифицира като част от продажната цена; в подобряване на предвидимостта за бизнеса; в ограничаване на натиска върху цените на стоки, чувствителни към тегловно базирани такси; и в намаляване на риска от изкривявания на пазара на оползотворяване, когато публичната такса фактически действа като горна и ориентировъчна референтна стойност за частните възнаграждения.</w:t>
            </w:r>
          </w:p>
          <w:p w14:paraId="2B5CCE52" w14:textId="049FFFF1" w:rsidR="00BF7920" w:rsidRDefault="00BF7920" w:rsidP="00851E74">
            <w:pPr>
              <w:spacing w:after="0" w:line="240" w:lineRule="auto"/>
              <w:jc w:val="both"/>
              <w:rPr>
                <w:rFonts w:ascii="Times New Roman" w:hAnsi="Times New Roman"/>
                <w:sz w:val="24"/>
                <w:szCs w:val="24"/>
                <w:lang w:val="bg-BG" w:eastAsia="bg-BG"/>
              </w:rPr>
            </w:pPr>
          </w:p>
          <w:p w14:paraId="44C0DA42" w14:textId="6FBDEAEB" w:rsidR="007F06F6" w:rsidRPr="00076E63" w:rsidRDefault="007F06F6" w:rsidP="007D51DE">
            <w:pPr>
              <w:spacing w:after="120" w:line="240" w:lineRule="auto"/>
              <w:jc w:val="center"/>
              <w:rPr>
                <w:rFonts w:ascii="Times New Roman" w:eastAsia="Times New Roman" w:hAnsi="Times New Roman" w:cs="Times New Roman"/>
                <w:sz w:val="24"/>
                <w:szCs w:val="24"/>
                <w:lang w:val="bg-BG"/>
              </w:rPr>
            </w:pPr>
            <w:r w:rsidRPr="001138D1">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Pr>
                <w:rFonts w:ascii="Times New Roman" w:eastAsia="Times New Roman" w:hAnsi="Times New Roman" w:cs="Times New Roman"/>
                <w:i/>
                <w:sz w:val="16"/>
                <w:szCs w:val="16"/>
                <w:lang w:val="bg-BG"/>
              </w:rPr>
              <w:t>проблем</w:t>
            </w:r>
            <w:r w:rsidRPr="001138D1">
              <w:rPr>
                <w:rFonts w:ascii="Times New Roman" w:eastAsia="Times New Roman" w:hAnsi="Times New Roman" w:cs="Times New Roman"/>
                <w:i/>
                <w:sz w:val="16"/>
                <w:szCs w:val="16"/>
                <w:lang w:val="bg-BG"/>
              </w:rPr>
              <w:t>и.</w:t>
            </w:r>
          </w:p>
        </w:tc>
      </w:tr>
      <w:tr w:rsidR="007F06F6" w:rsidRPr="003C124D" w14:paraId="1511B3DD" w14:textId="77777777" w:rsidTr="00C93DF1">
        <w:tc>
          <w:tcPr>
            <w:tcW w:w="10266" w:type="dxa"/>
            <w:gridSpan w:val="3"/>
          </w:tcPr>
          <w:p w14:paraId="5247B436" w14:textId="3D5EC676" w:rsidR="007F06F6"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77F062C6" w14:textId="77777777" w:rsidR="00BF7920" w:rsidRDefault="00BF7920" w:rsidP="007F06F6">
            <w:pPr>
              <w:spacing w:after="0" w:line="240" w:lineRule="auto"/>
              <w:rPr>
                <w:rFonts w:ascii="Times New Roman" w:eastAsia="Times New Roman" w:hAnsi="Times New Roman" w:cs="Times New Roman"/>
                <w:b/>
                <w:sz w:val="24"/>
                <w:szCs w:val="24"/>
                <w:lang w:val="bg-BG"/>
              </w:rPr>
            </w:pPr>
          </w:p>
          <w:p w14:paraId="30D960C1" w14:textId="639BE4D8" w:rsidR="00BF7920" w:rsidRPr="00076E63" w:rsidRDefault="00BF7920" w:rsidP="007F06F6">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Проблем 1 </w:t>
            </w:r>
          </w:p>
          <w:p w14:paraId="23D96C03" w14:textId="04B08993"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4854E52D">
                <v:shape id="_x0000_i1064" type="#_x0000_t75" style="width:108pt;height:18pt" o:ole="">
                  <v:imagedata r:id="rId12" o:title=""/>
                </v:shape>
                <w:control r:id="rId13" w:name="OptionButton3" w:shapeid="_x0000_i1064"/>
              </w:object>
            </w:r>
          </w:p>
          <w:p w14:paraId="6711743F" w14:textId="2506DEEA"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7BE8C0B7">
                <v:shape id="_x0000_i1066" type="#_x0000_t75" style="width:108pt;height:18pt" o:ole="">
                  <v:imagedata r:id="rId14" o:title=""/>
                </v:shape>
                <w:control r:id="rId15" w:name="OptionButton4" w:shapeid="_x0000_i1066"/>
              </w:object>
            </w:r>
          </w:p>
          <w:p w14:paraId="23A587D4" w14:textId="57B8D2D3"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2B3636BA">
                <v:shape id="_x0000_i1068" type="#_x0000_t75" style="width:108pt;height:18pt" o:ole="">
                  <v:imagedata r:id="rId16" o:title=""/>
                </v:shape>
                <w:control r:id="rId17" w:name="OptionButton5" w:shapeid="_x0000_i1068"/>
              </w:object>
            </w:r>
          </w:p>
          <w:p w14:paraId="3C78070C" w14:textId="02F88500" w:rsidR="00BF7920" w:rsidRPr="00BF7920" w:rsidRDefault="00BF7920" w:rsidP="00BF7920">
            <w:pPr>
              <w:spacing w:before="120" w:after="120" w:line="240" w:lineRule="auto"/>
              <w:rPr>
                <w:rFonts w:ascii="Times New Roman" w:eastAsia="Times New Roman" w:hAnsi="Times New Roman" w:cs="Times New Roman"/>
                <w:sz w:val="24"/>
                <w:szCs w:val="24"/>
                <w:lang w:val="bg-BG"/>
              </w:rPr>
            </w:pPr>
          </w:p>
          <w:p w14:paraId="1314A92A" w14:textId="43A7545C"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на </w:t>
            </w:r>
            <w:r>
              <w:rPr>
                <w:rFonts w:ascii="Times New Roman" w:eastAsia="Times New Roman" w:hAnsi="Times New Roman" w:cs="Times New Roman"/>
                <w:i/>
                <w:sz w:val="16"/>
                <w:szCs w:val="16"/>
                <w:lang w:val="bg-BG"/>
              </w:rPr>
              <w:t xml:space="preserve">препоръчителния </w:t>
            </w:r>
            <w:r w:rsidRPr="00076E63">
              <w:rPr>
                <w:rFonts w:ascii="Times New Roman" w:eastAsia="Times New Roman" w:hAnsi="Times New Roman" w:cs="Times New Roman"/>
                <w:i/>
                <w:sz w:val="16"/>
                <w:szCs w:val="16"/>
                <w:lang w:val="bg-BG"/>
              </w:rPr>
              <w:t>вариант</w:t>
            </w:r>
            <w:r>
              <w:rPr>
                <w:rFonts w:ascii="Times New Roman" w:eastAsia="Times New Roman" w:hAnsi="Times New Roman" w:cs="Times New Roman"/>
                <w:i/>
                <w:sz w:val="16"/>
                <w:szCs w:val="16"/>
                <w:lang w:val="bg-BG"/>
              </w:rPr>
              <w:t xml:space="preserve"> за решаване на всеки проблем.</w:t>
            </w:r>
          </w:p>
          <w:p w14:paraId="1AAA5F2B" w14:textId="7CA26B83"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1.2. Ако се предвижда въвеждането на такса</w:t>
            </w:r>
            <w:r>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Pr>
                <w:rFonts w:ascii="Times New Roman" w:eastAsia="Times New Roman" w:hAnsi="Times New Roman" w:cs="Times New Roman"/>
                <w:i/>
                <w:sz w:val="16"/>
                <w:szCs w:val="16"/>
                <w:lang w:val="bg-BG"/>
              </w:rPr>
              <w:t>.</w:t>
            </w:r>
          </w:p>
        </w:tc>
      </w:tr>
      <w:tr w:rsidR="007F06F6" w:rsidRPr="003C124D" w14:paraId="56544CB3" w14:textId="77777777" w:rsidTr="00C93DF1">
        <w:tc>
          <w:tcPr>
            <w:tcW w:w="10266" w:type="dxa"/>
            <w:gridSpan w:val="3"/>
          </w:tcPr>
          <w:p w14:paraId="632DE473" w14:textId="7D072A25" w:rsidR="007F06F6" w:rsidRDefault="007F06F6" w:rsidP="007F06F6">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16E8C4F4" w14:textId="31A70562" w:rsidR="00417E29" w:rsidRPr="00076E63" w:rsidRDefault="00303348" w:rsidP="007F06F6">
            <w:pPr>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color w:val="000000" w:themeColor="text1"/>
                <w:sz w:val="24"/>
                <w:szCs w:val="24"/>
                <w:lang w:val="bg-BG"/>
              </w:rPr>
              <w:t>Проблем 1</w:t>
            </w:r>
          </w:p>
          <w:p w14:paraId="72A1EE56" w14:textId="6967459B" w:rsidR="007F06F6" w:rsidRPr="00076E63" w:rsidRDefault="007F06F6" w:rsidP="007F06F6">
            <w:pPr>
              <w:spacing w:before="120" w:after="120" w:line="240" w:lineRule="auto"/>
              <w:rPr>
                <w:rFonts w:ascii="Times New Roman" w:eastAsia="Times New Roman" w:hAnsi="Times New Roman" w:cs="Times New Roman"/>
                <w:sz w:val="24"/>
                <w:szCs w:val="24"/>
                <w:lang w:val="en-GB"/>
              </w:rPr>
            </w:pPr>
            <w:r w:rsidRPr="00076E63">
              <w:rPr>
                <w:rFonts w:ascii="Times New Roman" w:eastAsia="Times New Roman" w:hAnsi="Times New Roman" w:cs="Times New Roman"/>
                <w:sz w:val="24"/>
                <w:szCs w:val="24"/>
                <w:lang w:val="en-GB"/>
              </w:rPr>
              <w:object w:dxaOrig="225" w:dyaOrig="225" w14:anchorId="59DE35FD">
                <v:shape id="_x0000_i1070" type="#_x0000_t75" style="width:108pt;height:18pt" o:ole="">
                  <v:imagedata r:id="rId18" o:title=""/>
                </v:shape>
                <w:control r:id="rId19" w:name="OptionButton16" w:shapeid="_x0000_i1070"/>
              </w:object>
            </w:r>
          </w:p>
          <w:p w14:paraId="49413BEC" w14:textId="77777777"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 ………………………………………………………………………………………….</w:t>
            </w:r>
          </w:p>
          <w:p w14:paraId="66A4AF1D" w14:textId="3DAADCC4"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3CCA227F">
                <v:shape id="_x0000_i1072" type="#_x0000_t75" style="width:108pt;height:18pt" o:ole="">
                  <v:imagedata r:id="rId20" o:title=""/>
                </v:shape>
                <w:control r:id="rId21" w:name="OptionButton17" w:shapeid="_x0000_i1072"/>
              </w:object>
            </w:r>
          </w:p>
          <w:p w14:paraId="56DED854" w14:textId="1B67F7FD" w:rsidR="007F06F6"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w:t>
            </w:r>
            <w:r w:rsidRPr="00F04B4E">
              <w:rPr>
                <w:rFonts w:ascii="Times New Roman" w:eastAsia="Times New Roman" w:hAnsi="Times New Roman" w:cs="Times New Roman"/>
                <w:i/>
                <w:sz w:val="16"/>
                <w:szCs w:val="16"/>
                <w:lang w:val="bg-BG"/>
              </w:rPr>
              <w:t xml:space="preserve"> Изборът следва да е съотносим с посочените специфични въздействия на избрания вариант</w:t>
            </w:r>
            <w:r>
              <w:rPr>
                <w:rFonts w:ascii="Times New Roman" w:eastAsia="Times New Roman" w:hAnsi="Times New Roman" w:cs="Times New Roman"/>
                <w:i/>
                <w:sz w:val="16"/>
                <w:szCs w:val="16"/>
                <w:lang w:val="bg-BG"/>
              </w:rPr>
              <w:t>.</w:t>
            </w:r>
          </w:p>
          <w:p w14:paraId="3E1E04D4" w14:textId="496FEE58"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Pr>
                <w:rFonts w:ascii="Times New Roman" w:eastAsia="Times New Roman" w:hAnsi="Times New Roman" w:cs="Times New Roman"/>
                <w:i/>
                <w:sz w:val="16"/>
                <w:szCs w:val="16"/>
                <w:lang w:val="bg-BG"/>
              </w:rPr>
              <w:t xml:space="preserve"> или действие</w:t>
            </w:r>
            <w:r w:rsidRPr="00076E63">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3</w:t>
            </w:r>
            <w:r w:rsidRPr="00076E63">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4</w:t>
            </w:r>
            <w:r w:rsidRPr="00076E63">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5</w:t>
            </w:r>
            <w:r w:rsidRPr="00076E63">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w:t>
            </w:r>
            <w:r>
              <w:rPr>
                <w:rFonts w:ascii="Times New Roman" w:eastAsia="Times New Roman" w:hAnsi="Times New Roman" w:cs="Times New Roman"/>
                <w:i/>
                <w:sz w:val="16"/>
                <w:szCs w:val="16"/>
                <w:lang w:val="bg-BG"/>
              </w:rPr>
              <w:t>6</w:t>
            </w:r>
            <w:r w:rsidRPr="00076E63">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7F06F6" w:rsidRPr="003C124D" w14:paraId="5FF8E077" w14:textId="77777777" w:rsidTr="00C93DF1">
        <w:tc>
          <w:tcPr>
            <w:tcW w:w="10266" w:type="dxa"/>
            <w:gridSpan w:val="3"/>
          </w:tcPr>
          <w:p w14:paraId="7B0F5C32" w14:textId="0118A7DE" w:rsidR="007F06F6"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6DB6E522" w14:textId="77777777" w:rsidR="00417E29" w:rsidRDefault="00417E29" w:rsidP="007F06F6">
            <w:pPr>
              <w:spacing w:after="0" w:line="240" w:lineRule="auto"/>
              <w:rPr>
                <w:rFonts w:ascii="Times New Roman" w:eastAsia="Times New Roman" w:hAnsi="Times New Roman" w:cs="Times New Roman"/>
                <w:b/>
                <w:color w:val="000000" w:themeColor="text1"/>
                <w:sz w:val="24"/>
                <w:szCs w:val="24"/>
                <w:lang w:val="bg-BG"/>
              </w:rPr>
            </w:pPr>
          </w:p>
          <w:p w14:paraId="29ECA73F" w14:textId="48DBD049" w:rsidR="00417E29" w:rsidRPr="00076E63" w:rsidRDefault="00303348" w:rsidP="007F06F6">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color w:val="000000" w:themeColor="text1"/>
                <w:sz w:val="24"/>
                <w:szCs w:val="24"/>
                <w:lang w:val="bg-BG"/>
              </w:rPr>
              <w:t>Проблем 1</w:t>
            </w:r>
          </w:p>
          <w:p w14:paraId="1750DCF5" w14:textId="29EFBC5D" w:rsidR="007F06F6" w:rsidRPr="00076E63" w:rsidRDefault="007F06F6" w:rsidP="007F06F6">
            <w:pPr>
              <w:spacing w:before="120" w:after="120" w:line="240" w:lineRule="auto"/>
              <w:jc w:val="both"/>
              <w:rPr>
                <w:rFonts w:ascii="Times New Roman" w:eastAsia="Times New Roman" w:hAnsi="Times New Roman" w:cs="Times New Roman"/>
                <w:i/>
                <w:sz w:val="24"/>
                <w:szCs w:val="24"/>
                <w:lang w:val="en-GB"/>
              </w:rPr>
            </w:pPr>
            <w:r w:rsidRPr="00076E63">
              <w:rPr>
                <w:rFonts w:ascii="Times New Roman" w:eastAsia="Times New Roman" w:hAnsi="Times New Roman" w:cs="Times New Roman"/>
                <w:i/>
                <w:sz w:val="24"/>
                <w:szCs w:val="24"/>
                <w:lang w:val="en-GB"/>
              </w:rPr>
              <w:object w:dxaOrig="225" w:dyaOrig="225" w14:anchorId="319A3815">
                <v:shape id="_x0000_i1074" type="#_x0000_t75" style="width:108pt;height:18pt" o:ole="">
                  <v:imagedata r:id="rId18" o:title=""/>
                </v:shape>
                <w:control r:id="rId22" w:name="OptionButton18" w:shapeid="_x0000_i1074"/>
              </w:object>
            </w:r>
          </w:p>
          <w:p w14:paraId="7849EC3F" w14:textId="4562AAD5" w:rsidR="007F06F6" w:rsidRPr="00076E63" w:rsidRDefault="007F06F6" w:rsidP="007F06F6">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04663E39">
                <v:shape id="_x0000_i1076" type="#_x0000_t75" style="width:108pt;height:18pt" o:ole="">
                  <v:imagedata r:id="rId20" o:title=""/>
                </v:shape>
                <w:control r:id="rId23" w:name="OptionButton19" w:shapeid="_x0000_i1076"/>
              </w:object>
            </w:r>
          </w:p>
          <w:p w14:paraId="46F92B24" w14:textId="77777777" w:rsidR="007F06F6" w:rsidRPr="00076E63" w:rsidRDefault="007F06F6" w:rsidP="007F06F6">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7F06F6" w:rsidRPr="003C124D" w14:paraId="274837D6" w14:textId="77777777" w:rsidTr="00C93DF1">
        <w:tc>
          <w:tcPr>
            <w:tcW w:w="10266" w:type="dxa"/>
            <w:gridSpan w:val="3"/>
          </w:tcPr>
          <w:p w14:paraId="69C80DA5" w14:textId="4E00F1D0" w:rsidR="007F06F6"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6.4. По какъв начин </w:t>
            </w:r>
            <w:r>
              <w:rPr>
                <w:rFonts w:ascii="Times New Roman" w:eastAsia="Times New Roman" w:hAnsi="Times New Roman" w:cs="Times New Roman"/>
                <w:b/>
                <w:sz w:val="24"/>
                <w:szCs w:val="24"/>
                <w:lang w:val="bg-BG"/>
              </w:rPr>
              <w:t xml:space="preserve">препоръчителният </w:t>
            </w:r>
            <w:r w:rsidRPr="00076E63">
              <w:rPr>
                <w:rFonts w:ascii="Times New Roman" w:eastAsia="Times New Roman" w:hAnsi="Times New Roman" w:cs="Times New Roman"/>
                <w:b/>
                <w:sz w:val="24"/>
                <w:szCs w:val="24"/>
                <w:lang w:val="bg-BG"/>
              </w:rPr>
              <w:t>вариант въздейства върху микро</w:t>
            </w:r>
            <w:r>
              <w:rPr>
                <w:rFonts w:ascii="Times New Roman" w:eastAsia="Times New Roman" w:hAnsi="Times New Roman" w:cs="Times New Roman"/>
                <w:b/>
                <w:sz w:val="24"/>
                <w:szCs w:val="24"/>
                <w:lang w:val="bg-BG"/>
              </w:rPr>
              <w:t>-</w:t>
            </w:r>
            <w:r w:rsidRPr="00076E63">
              <w:rPr>
                <w:rFonts w:ascii="Times New Roman" w:eastAsia="Times New Roman" w:hAnsi="Times New Roman" w:cs="Times New Roman"/>
                <w:b/>
                <w:sz w:val="24"/>
                <w:szCs w:val="24"/>
                <w:lang w:val="bg-BG"/>
              </w:rPr>
              <w:t>, малките и средните предприятия (МСП)</w:t>
            </w:r>
            <w:r w:rsidRPr="00076E63">
              <w:rPr>
                <w:rFonts w:ascii="Times New Roman" w:eastAsia="Times New Roman" w:hAnsi="Times New Roman" w:cs="Times New Roman"/>
                <w:sz w:val="20"/>
                <w:szCs w:val="20"/>
                <w:lang w:val="bg-BG" w:eastAsia="bg-BG"/>
              </w:rPr>
              <w:t xml:space="preserve"> </w:t>
            </w:r>
            <w:r w:rsidRPr="00076E63">
              <w:rPr>
                <w:rFonts w:ascii="Times New Roman" w:eastAsia="Times New Roman" w:hAnsi="Times New Roman" w:cs="Times New Roman"/>
                <w:b/>
                <w:sz w:val="24"/>
                <w:szCs w:val="24"/>
                <w:lang w:val="bg-BG"/>
              </w:rPr>
              <w:t>(включително по отделните проблеми)?</w:t>
            </w:r>
          </w:p>
          <w:p w14:paraId="1E5EC1CE" w14:textId="77777777" w:rsidR="00417E29" w:rsidRDefault="00417E29" w:rsidP="007F06F6">
            <w:pPr>
              <w:spacing w:after="0" w:line="240" w:lineRule="auto"/>
              <w:rPr>
                <w:rFonts w:ascii="Times New Roman" w:eastAsia="Times New Roman" w:hAnsi="Times New Roman" w:cs="Times New Roman"/>
                <w:b/>
                <w:color w:val="000000" w:themeColor="text1"/>
                <w:sz w:val="24"/>
                <w:szCs w:val="24"/>
                <w:lang w:val="bg-BG"/>
              </w:rPr>
            </w:pPr>
          </w:p>
          <w:p w14:paraId="15499780" w14:textId="368FADB0" w:rsidR="00417E29" w:rsidRPr="00076E63" w:rsidRDefault="00815AE6" w:rsidP="007F06F6">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color w:val="000000" w:themeColor="text1"/>
                <w:sz w:val="24"/>
                <w:szCs w:val="24"/>
                <w:lang w:val="bg-BG"/>
              </w:rPr>
              <w:t>Проблем 1</w:t>
            </w:r>
          </w:p>
          <w:p w14:paraId="3AC059AB" w14:textId="52E4FF55"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w14:anchorId="616DB3D9">
                <v:shape id="_x0000_i1078" type="#_x0000_t75" style="width:259.5pt;height:18pt" o:ole="">
                  <v:imagedata r:id="rId24" o:title=""/>
                </v:shape>
                <w:control r:id="rId25" w:name="OptionButton6" w:shapeid="_x0000_i1078"/>
              </w:object>
            </w:r>
          </w:p>
          <w:p w14:paraId="003CD017" w14:textId="0F8DC415"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Calibri" w:eastAsia="MS Mincho" w:hAnsi="Calibri" w:cs="MS Mincho"/>
                <w:sz w:val="24"/>
                <w:szCs w:val="24"/>
                <w:lang w:val="en-GB"/>
              </w:rPr>
              <w:object w:dxaOrig="225" w:dyaOrig="225" w14:anchorId="48996CF0">
                <v:shape id="_x0000_i1080" type="#_x0000_t75" style="width:161.25pt;height:18pt" o:ole="">
                  <v:imagedata r:id="rId26" o:title=""/>
                </v:shape>
                <w:control r:id="rId27" w:name="OptionButton7" w:shapeid="_x0000_i1080"/>
              </w:object>
            </w:r>
          </w:p>
          <w:p w14:paraId="2D483736" w14:textId="7BCE9276" w:rsidR="00815AE6" w:rsidRDefault="00417E29" w:rsidP="00815AE6">
            <w:pPr>
              <w:spacing w:before="120" w:after="120" w:line="240" w:lineRule="auto"/>
              <w:jc w:val="both"/>
              <w:rPr>
                <w:rFonts w:ascii="Times New Roman" w:eastAsia="MS Mincho" w:hAnsi="Times New Roman" w:cs="Times New Roman"/>
                <w:sz w:val="24"/>
                <w:szCs w:val="24"/>
                <w:lang w:val="bg-BG"/>
              </w:rPr>
            </w:pPr>
            <w:r w:rsidRPr="00C96683">
              <w:rPr>
                <w:rFonts w:ascii="Times New Roman" w:eastAsia="MS Mincho" w:hAnsi="Times New Roman" w:cs="Times New Roman"/>
                <w:sz w:val="24"/>
                <w:szCs w:val="24"/>
                <w:lang w:val="bg-BG"/>
              </w:rPr>
              <w:t xml:space="preserve">Избраният вариант </w:t>
            </w:r>
            <w:r w:rsidR="00815AE6">
              <w:rPr>
                <w:rFonts w:ascii="Times New Roman" w:eastAsia="MS Mincho" w:hAnsi="Times New Roman" w:cs="Times New Roman"/>
                <w:sz w:val="24"/>
                <w:szCs w:val="24"/>
                <w:lang w:val="bg-BG"/>
              </w:rPr>
              <w:t>оказва положително въздействие върху МСП, поради намаляване разходите за заплащане на продуктови такси.</w:t>
            </w:r>
          </w:p>
          <w:p w14:paraId="1808DE63" w14:textId="73FC3348" w:rsidR="007F06F6" w:rsidRPr="00076E63" w:rsidRDefault="007F06F6" w:rsidP="00815AE6">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i/>
                <w:sz w:val="16"/>
                <w:szCs w:val="16"/>
                <w:lang w:val="bg-BG"/>
              </w:rPr>
              <w:t>И</w:t>
            </w:r>
            <w:r w:rsidRPr="00076E63">
              <w:rPr>
                <w:rFonts w:ascii="Times New Roman" w:eastAsia="Times New Roman" w:hAnsi="Times New Roman" w:cs="Times New Roman"/>
                <w:i/>
                <w:sz w:val="16"/>
                <w:szCs w:val="16"/>
                <w:lang w:val="bg-BG"/>
              </w:rPr>
              <w:t xml:space="preserve">зборът следва да е съотносим с посочените специфични въздействия на </w:t>
            </w:r>
            <w:r>
              <w:rPr>
                <w:rFonts w:ascii="Times New Roman" w:eastAsia="Times New Roman" w:hAnsi="Times New Roman" w:cs="Times New Roman"/>
                <w:i/>
                <w:sz w:val="16"/>
                <w:szCs w:val="16"/>
                <w:lang w:val="bg-BG"/>
              </w:rPr>
              <w:t>препоръчителния вариант.</w:t>
            </w:r>
          </w:p>
        </w:tc>
      </w:tr>
      <w:tr w:rsidR="007F06F6" w:rsidRPr="003C124D" w14:paraId="6257BA47" w14:textId="77777777" w:rsidTr="00C93DF1">
        <w:tc>
          <w:tcPr>
            <w:tcW w:w="10266" w:type="dxa"/>
            <w:gridSpan w:val="3"/>
          </w:tcPr>
          <w:p w14:paraId="1892C53E" w14:textId="77777777" w:rsidR="007F06F6" w:rsidRPr="00076E63" w:rsidRDefault="007F06F6" w:rsidP="007F06F6">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01C2AF0F" w14:textId="6FD84E5A" w:rsidR="002652B7" w:rsidRPr="002652B7" w:rsidRDefault="002652B7" w:rsidP="002652B7">
            <w:pPr>
              <w:spacing w:after="0" w:line="240" w:lineRule="auto"/>
              <w:ind w:firstLine="441"/>
              <w:jc w:val="both"/>
              <w:rPr>
                <w:rFonts w:ascii="Times New Roman" w:eastAsia="Times New Roman" w:hAnsi="Times New Roman" w:cs="Times New Roman"/>
                <w:sz w:val="24"/>
                <w:szCs w:val="24"/>
                <w:lang w:val="bg-BG"/>
              </w:rPr>
            </w:pPr>
            <w:r w:rsidRPr="002652B7">
              <w:rPr>
                <w:rFonts w:ascii="Times New Roman" w:eastAsia="Times New Roman" w:hAnsi="Times New Roman" w:cs="Times New Roman"/>
                <w:sz w:val="24"/>
                <w:szCs w:val="24"/>
                <w:lang w:val="bg-BG"/>
              </w:rPr>
              <w:t>Намаляването на размера на продуктовите такси за електрическо и електронно оборудване крие определени рискове, свързани основно с финансовата устойчивост и ефективността на системата за управление на отпадъците. На първо място, е възможно краткосрочно и средносрочно намаляване на приходите в ПУДООС, което може да ограничи възможностите за финансиране на екологични проекти, инфраструктура и дейн</w:t>
            </w:r>
            <w:r>
              <w:rPr>
                <w:rFonts w:ascii="Times New Roman" w:eastAsia="Times New Roman" w:hAnsi="Times New Roman" w:cs="Times New Roman"/>
                <w:sz w:val="24"/>
                <w:szCs w:val="24"/>
                <w:lang w:val="bg-BG"/>
              </w:rPr>
              <w:t>ости по събиране и рециклиране.</w:t>
            </w:r>
          </w:p>
          <w:p w14:paraId="56731CF1" w14:textId="04F9FCBB" w:rsidR="002652B7" w:rsidRPr="002652B7" w:rsidRDefault="002652B7" w:rsidP="002652B7">
            <w:pPr>
              <w:spacing w:after="0" w:line="240" w:lineRule="auto"/>
              <w:ind w:firstLine="441"/>
              <w:jc w:val="both"/>
              <w:rPr>
                <w:rFonts w:ascii="Times New Roman" w:eastAsia="Times New Roman" w:hAnsi="Times New Roman" w:cs="Times New Roman"/>
                <w:sz w:val="24"/>
                <w:szCs w:val="24"/>
                <w:lang w:val="bg-BG"/>
              </w:rPr>
            </w:pPr>
            <w:r w:rsidRPr="002652B7">
              <w:rPr>
                <w:rFonts w:ascii="Times New Roman" w:eastAsia="Times New Roman" w:hAnsi="Times New Roman" w:cs="Times New Roman"/>
                <w:sz w:val="24"/>
                <w:szCs w:val="24"/>
                <w:lang w:val="bg-BG"/>
              </w:rPr>
              <w:t>Съществува и риск от недофинансиране на организациите по оползотворяване, което би могло да доведе до влошаване на качеството и обхвата на услугите, включително намаляване на броя на пунктовете за събиране и по-ниска ефективност на системите. Това от своя страна може да затрудни постигането на националните и европейските цели за събиране и</w:t>
            </w:r>
            <w:r>
              <w:rPr>
                <w:rFonts w:ascii="Times New Roman" w:eastAsia="Times New Roman" w:hAnsi="Times New Roman" w:cs="Times New Roman"/>
                <w:sz w:val="24"/>
                <w:szCs w:val="24"/>
                <w:lang w:val="bg-BG"/>
              </w:rPr>
              <w:t xml:space="preserve"> оползотворяване на отпадъците.</w:t>
            </w:r>
          </w:p>
          <w:p w14:paraId="030C48F1" w14:textId="351ABF4D" w:rsidR="002652B7" w:rsidRPr="002652B7" w:rsidRDefault="002652B7" w:rsidP="002652B7">
            <w:pPr>
              <w:spacing w:after="0" w:line="240" w:lineRule="auto"/>
              <w:ind w:firstLine="441"/>
              <w:jc w:val="both"/>
              <w:rPr>
                <w:rFonts w:ascii="Times New Roman" w:eastAsia="Times New Roman" w:hAnsi="Times New Roman" w:cs="Times New Roman"/>
                <w:sz w:val="24"/>
                <w:szCs w:val="24"/>
                <w:lang w:val="bg-BG"/>
              </w:rPr>
            </w:pPr>
            <w:r w:rsidRPr="002652B7">
              <w:rPr>
                <w:rFonts w:ascii="Times New Roman" w:eastAsia="Times New Roman" w:hAnsi="Times New Roman" w:cs="Times New Roman"/>
                <w:sz w:val="24"/>
                <w:szCs w:val="24"/>
                <w:lang w:val="bg-BG"/>
              </w:rPr>
              <w:t>Допълнително, по-ниските продуктови такси могат да отслабят икономическия стимул за участие в системите за разширена отговорност на производителя, както и мотивацията за внедряване на екодизайн и по-устойчиви продуктови решения. Налице е и потенциален риск от засилване на нелоялната конкуренция и „сивия сектор“, ако намалените разходи намалят бариерите за нере</w:t>
            </w:r>
            <w:r>
              <w:rPr>
                <w:rFonts w:ascii="Times New Roman" w:eastAsia="Times New Roman" w:hAnsi="Times New Roman" w:cs="Times New Roman"/>
                <w:sz w:val="24"/>
                <w:szCs w:val="24"/>
                <w:lang w:val="bg-BG"/>
              </w:rPr>
              <w:t>гламентирано пускане на пазара.</w:t>
            </w:r>
          </w:p>
          <w:p w14:paraId="572C8784" w14:textId="3D676A19" w:rsidR="007F06F6" w:rsidRPr="00076E63" w:rsidRDefault="007F06F6" w:rsidP="002652B7">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Pr>
                <w:rFonts w:ascii="Times New Roman" w:eastAsia="Times New Roman" w:hAnsi="Times New Roman" w:cs="Times New Roman"/>
                <w:i/>
                <w:sz w:val="16"/>
                <w:szCs w:val="16"/>
                <w:lang w:val="bg-BG"/>
              </w:rPr>
              <w:t xml:space="preserve">напр. </w:t>
            </w:r>
            <w:r w:rsidRPr="00076E63">
              <w:rPr>
                <w:rFonts w:ascii="Times New Roman" w:eastAsia="Times New Roman" w:hAnsi="Times New Roman" w:cs="Times New Roman"/>
                <w:i/>
                <w:sz w:val="16"/>
                <w:szCs w:val="16"/>
                <w:lang w:val="bg-BG"/>
              </w:rPr>
              <w:t>възникване на съдебни спорове и др.</w:t>
            </w:r>
          </w:p>
        </w:tc>
      </w:tr>
      <w:tr w:rsidR="007F06F6" w:rsidRPr="003C124D" w14:paraId="2BBAF327" w14:textId="77777777" w:rsidTr="00C93DF1">
        <w:tc>
          <w:tcPr>
            <w:tcW w:w="10266" w:type="dxa"/>
            <w:gridSpan w:val="3"/>
          </w:tcPr>
          <w:p w14:paraId="5A922223" w14:textId="77777777" w:rsidR="007F06F6" w:rsidRPr="00076E63"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7. Консултации:</w:t>
            </w:r>
          </w:p>
          <w:p w14:paraId="33348B95" w14:textId="48A6D344" w:rsidR="007F06F6" w:rsidRPr="00076E63" w:rsidRDefault="007F06F6" w:rsidP="007F06F6">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en-GB"/>
              </w:rPr>
              <w:object w:dxaOrig="225" w:dyaOrig="225" w14:anchorId="40F51C9D">
                <v:shape id="_x0000_i1082" type="#_x0000_t75" style="width:498.75pt;height:18pt" o:ole="">
                  <v:imagedata r:id="rId28" o:title=""/>
                </v:shape>
                <w:control r:id="rId29" w:name="OptionButton13" w:shapeid="_x0000_i1082"/>
              </w:object>
            </w:r>
          </w:p>
          <w:p w14:paraId="01DB9811"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p>
          <w:p w14:paraId="60657BD9"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304D0C1A"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16D60AE1" w14:textId="77777777" w:rsidR="007F06F6" w:rsidRPr="00076E63" w:rsidRDefault="007F06F6" w:rsidP="007F06F6">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2C6C0D84" w14:textId="555FB655" w:rsidR="007F06F6" w:rsidRDefault="007F06F6" w:rsidP="007F06F6">
            <w:pPr>
              <w:spacing w:after="120" w:line="240" w:lineRule="auto"/>
              <w:jc w:val="center"/>
              <w:rPr>
                <w:rFonts w:ascii="Times New Roman" w:eastAsia="Times New Roman" w:hAnsi="Times New Roman" w:cs="Times New Roman"/>
                <w:i/>
                <w:sz w:val="16"/>
                <w:szCs w:val="16"/>
                <w:lang w:val="bg-BG"/>
              </w:rPr>
            </w:pPr>
            <w:r w:rsidRPr="001138D1">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484F4823" w14:textId="77777777"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p>
          <w:p w14:paraId="248F2F9F" w14:textId="6D7D04DA" w:rsidR="007F06F6" w:rsidRPr="00076E63" w:rsidRDefault="007F06F6" w:rsidP="007F06F6">
            <w:pPr>
              <w:spacing w:before="120" w:after="12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24"/>
                <w:szCs w:val="24"/>
                <w:lang w:val="en-GB"/>
              </w:rPr>
              <w:object w:dxaOrig="225" w:dyaOrig="225" w14:anchorId="16577C51">
                <v:shape id="_x0000_i1084" type="#_x0000_t75" style="width:502.5pt;height:18pt" o:ole="">
                  <v:imagedata r:id="rId30" o:title=""/>
                </v:shape>
                <w:control r:id="rId31" w:name="OptionButton15" w:shapeid="_x0000_i1084"/>
              </w:object>
            </w:r>
          </w:p>
          <w:p w14:paraId="6B03033B" w14:textId="40A3CB92" w:rsidR="007F06F6" w:rsidRDefault="00417E29" w:rsidP="00A63465">
            <w:pPr>
              <w:spacing w:after="0" w:line="240" w:lineRule="auto"/>
              <w:jc w:val="both"/>
              <w:rPr>
                <w:rFonts w:ascii="Times New Roman" w:hAnsi="Times New Roman" w:cs="Times New Roman"/>
                <w:sz w:val="24"/>
                <w:lang w:val="bg-BG"/>
              </w:rPr>
            </w:pPr>
            <w:r w:rsidRPr="00D62D96">
              <w:rPr>
                <w:rFonts w:ascii="Times New Roman" w:hAnsi="Times New Roman" w:cs="Times New Roman"/>
                <w:sz w:val="24"/>
                <w:lang w:val="bg-BG"/>
              </w:rPr>
              <w:t xml:space="preserve">Проектът на </w:t>
            </w:r>
            <w:r>
              <w:rPr>
                <w:rFonts w:ascii="Times New Roman" w:hAnsi="Times New Roman" w:cs="Times New Roman"/>
                <w:sz w:val="24"/>
                <w:lang w:val="bg-BG"/>
              </w:rPr>
              <w:t xml:space="preserve">Постановление на Министерски съвет за изменение и допълнение на </w:t>
            </w:r>
            <w:r w:rsidR="00940443" w:rsidRPr="00940443">
              <w:rPr>
                <w:rFonts w:ascii="Times New Roman" w:hAnsi="Times New Roman" w:cs="Times New Roman"/>
                <w:sz w:val="24"/>
                <w:lang w:val="bg-BG"/>
              </w:rPr>
              <w:t xml:space="preserve">Наредбата за определяне на реда и размера за заплащане на продуктова такса </w:t>
            </w:r>
            <w:r w:rsidRPr="00D62D96">
              <w:rPr>
                <w:rFonts w:ascii="Times New Roman" w:hAnsi="Times New Roman" w:cs="Times New Roman"/>
                <w:sz w:val="24"/>
                <w:lang w:val="bg-BG"/>
              </w:rPr>
              <w:t>ще бъде публикуван за обществени консултации за 30 дни на интернет страницата на МОСВ и на Портала за обществени консултации.</w:t>
            </w:r>
          </w:p>
          <w:p w14:paraId="66457D60" w14:textId="77777777" w:rsidR="00417E29" w:rsidRPr="00076E63" w:rsidRDefault="00417E29" w:rsidP="007F06F6">
            <w:pPr>
              <w:spacing w:after="0" w:line="240" w:lineRule="auto"/>
              <w:rPr>
                <w:rFonts w:ascii="Times New Roman" w:eastAsia="Times New Roman" w:hAnsi="Times New Roman" w:cs="Times New Roman"/>
                <w:sz w:val="24"/>
                <w:szCs w:val="24"/>
                <w:lang w:val="bg-BG"/>
              </w:rPr>
            </w:pPr>
          </w:p>
          <w:p w14:paraId="6D9FEFAF" w14:textId="77777777" w:rsidR="007F06F6" w:rsidRPr="00076E63" w:rsidRDefault="007F06F6" w:rsidP="007F06F6">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7F06F6" w:rsidRPr="003C124D" w14:paraId="1FDD5F2F" w14:textId="77777777" w:rsidTr="00C93DF1">
        <w:tc>
          <w:tcPr>
            <w:tcW w:w="10266" w:type="dxa"/>
            <w:gridSpan w:val="3"/>
          </w:tcPr>
          <w:p w14:paraId="3E0EEC45" w14:textId="77777777"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D8AE962" w14:textId="7DBCBADD"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w14:anchorId="3548FBA1">
                <v:shape id="_x0000_i1086" type="#_x0000_t75" style="width:108pt;height:18pt" o:ole="">
                  <v:imagedata r:id="rId18" o:title=""/>
                </v:shape>
                <w:control r:id="rId32" w:name="OptionButton9" w:shapeid="_x0000_i1086"/>
              </w:object>
            </w:r>
          </w:p>
          <w:p w14:paraId="35283808" w14:textId="273F4D79" w:rsidR="007F06F6" w:rsidRPr="00076E63" w:rsidRDefault="007F06F6" w:rsidP="007F06F6">
            <w:pPr>
              <w:spacing w:before="120" w:after="120" w:line="240" w:lineRule="auto"/>
              <w:rPr>
                <w:rFonts w:ascii="Calibri" w:eastAsia="MS Mincho" w:hAnsi="Calibri" w:cs="MS Mincho"/>
                <w:sz w:val="24"/>
                <w:szCs w:val="24"/>
                <w:lang w:val="bg-BG"/>
              </w:rPr>
            </w:pPr>
            <w:r w:rsidRPr="00076E63">
              <w:rPr>
                <w:rFonts w:ascii="MS Mincho" w:eastAsia="MS Mincho" w:hAnsi="MS Mincho" w:cs="MS Mincho"/>
                <w:sz w:val="24"/>
                <w:szCs w:val="24"/>
                <w:lang w:val="en-GB"/>
              </w:rPr>
              <w:object w:dxaOrig="225" w:dyaOrig="225" w14:anchorId="4BEA1EE9">
                <v:shape id="_x0000_i1088" type="#_x0000_t75" style="width:108pt;height:18pt" o:ole="">
                  <v:imagedata r:id="rId20" o:title=""/>
                </v:shape>
                <w:control r:id="rId33" w:name="OptionButton10" w:shapeid="_x0000_i1088"/>
              </w:object>
            </w:r>
          </w:p>
          <w:p w14:paraId="5EE0A20A" w14:textId="77777777" w:rsidR="00417E29" w:rsidRDefault="00417E29" w:rsidP="007F06F6">
            <w:pPr>
              <w:spacing w:after="120" w:line="240" w:lineRule="auto"/>
              <w:jc w:val="center"/>
              <w:rPr>
                <w:rFonts w:ascii="Times New Roman" w:eastAsia="Times New Roman" w:hAnsi="Times New Roman" w:cs="Times New Roman"/>
                <w:sz w:val="24"/>
                <w:szCs w:val="24"/>
                <w:lang w:val="bg-BG"/>
              </w:rPr>
            </w:pPr>
          </w:p>
          <w:p w14:paraId="3B2E629A" w14:textId="7E7EBB33" w:rsidR="007F06F6" w:rsidRPr="00076E63" w:rsidRDefault="007F06F6" w:rsidP="007F06F6">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1.1. П</w:t>
            </w:r>
            <w:r w:rsidRPr="00076E63">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7F06F6" w:rsidRPr="00076E63" w:rsidRDefault="007F06F6" w:rsidP="007F06F6">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1.2. </w:t>
            </w:r>
            <w:r w:rsidRPr="00076E63">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7F06F6" w:rsidRPr="003C124D" w14:paraId="6F722E12" w14:textId="77777777" w:rsidTr="00C93DF1">
        <w:tc>
          <w:tcPr>
            <w:tcW w:w="10266" w:type="dxa"/>
            <w:gridSpan w:val="3"/>
          </w:tcPr>
          <w:p w14:paraId="0A9963B9" w14:textId="0190CA10"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399354EC" w14:textId="4BDF858B" w:rsidR="007F06F6" w:rsidRPr="00076E63" w:rsidRDefault="007F06F6" w:rsidP="007F06F6">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w14:anchorId="6FB0BF29">
                <v:shape id="_x0000_i1090" type="#_x0000_t75" style="width:108pt;height:18pt" o:ole="">
                  <v:imagedata r:id="rId18" o:title=""/>
                </v:shape>
                <w:control r:id="rId34" w:name="OptionButton20" w:shapeid="_x0000_i1090"/>
              </w:object>
            </w:r>
          </w:p>
          <w:p w14:paraId="642DBBB9" w14:textId="0E1D759A" w:rsidR="007F06F6" w:rsidRPr="00076E63" w:rsidRDefault="007F06F6" w:rsidP="007F06F6">
            <w:pPr>
              <w:spacing w:before="120" w:after="120" w:line="240" w:lineRule="auto"/>
              <w:jc w:val="both"/>
              <w:rPr>
                <w:rFonts w:ascii="Calibri" w:eastAsia="Times New Roman" w:hAnsi="Calibri" w:cs="Segoe UI Symbol"/>
                <w:b/>
                <w:sz w:val="24"/>
                <w:szCs w:val="24"/>
                <w:lang w:val="bg-BG"/>
              </w:rPr>
            </w:pPr>
            <w:r w:rsidRPr="00076E63">
              <w:rPr>
                <w:rFonts w:ascii="Hebar" w:eastAsia="Times New Roman" w:hAnsi="Hebar" w:cs="Segoe UI Symbol"/>
                <w:b/>
                <w:sz w:val="24"/>
                <w:szCs w:val="24"/>
                <w:lang w:val="en-GB"/>
              </w:rPr>
              <w:object w:dxaOrig="225" w:dyaOrig="225" w14:anchorId="6AA28506">
                <v:shape id="_x0000_i1092" type="#_x0000_t75" style="width:108pt;height:18pt" o:ole="">
                  <v:imagedata r:id="rId20" o:title=""/>
                </v:shape>
                <w:control r:id="rId35" w:name="OptionButton21" w:shapeid="_x0000_i1092"/>
              </w:object>
            </w:r>
          </w:p>
          <w:p w14:paraId="498787D1" w14:textId="77777777" w:rsidR="007F06F6" w:rsidRPr="00076E63" w:rsidRDefault="007F06F6" w:rsidP="007F06F6">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7F06F6" w:rsidRPr="003C124D" w14:paraId="06C71DB2" w14:textId="77777777" w:rsidTr="00C93DF1">
        <w:tc>
          <w:tcPr>
            <w:tcW w:w="10266" w:type="dxa"/>
            <w:gridSpan w:val="3"/>
          </w:tcPr>
          <w:p w14:paraId="0A5E5DE1" w14:textId="77777777" w:rsidR="007F06F6" w:rsidRPr="00076E63" w:rsidRDefault="007F06F6" w:rsidP="007F06F6">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10. Приложения:</w:t>
            </w:r>
          </w:p>
          <w:p w14:paraId="179E67D8" w14:textId="0893C388" w:rsidR="00417E29" w:rsidRDefault="00417E29" w:rsidP="00417E29">
            <w:pPr>
              <w:spacing w:after="120" w:line="240" w:lineRule="auto"/>
              <w:jc w:val="both"/>
              <w:rPr>
                <w:rFonts w:ascii="Times New Roman" w:eastAsia="Times New Roman" w:hAnsi="Times New Roman" w:cs="Times New Roman"/>
                <w:i/>
                <w:sz w:val="16"/>
                <w:szCs w:val="16"/>
                <w:lang w:val="bg-BG"/>
              </w:rPr>
            </w:pPr>
            <w:r w:rsidRPr="00417E29">
              <w:rPr>
                <w:rFonts w:ascii="Times New Roman" w:eastAsia="Times New Roman" w:hAnsi="Times New Roman" w:cs="Times New Roman"/>
                <w:sz w:val="24"/>
                <w:szCs w:val="24"/>
                <w:lang w:val="bg-BG"/>
              </w:rPr>
              <w:t>На настоящия етап е разработен проект на нормативен акт, който ще бъде приложен</w:t>
            </w:r>
            <w:r w:rsidR="00DB7C6F">
              <w:rPr>
                <w:rFonts w:ascii="Times New Roman" w:eastAsia="Times New Roman" w:hAnsi="Times New Roman" w:cs="Times New Roman"/>
                <w:sz w:val="24"/>
                <w:szCs w:val="24"/>
                <w:lang w:val="bg-BG"/>
              </w:rPr>
              <w:t>.</w:t>
            </w:r>
            <w:r>
              <w:rPr>
                <w:rFonts w:ascii="Times New Roman" w:eastAsia="Times New Roman" w:hAnsi="Times New Roman" w:cs="Times New Roman"/>
                <w:i/>
                <w:sz w:val="16"/>
                <w:szCs w:val="16"/>
                <w:lang w:val="bg-BG"/>
              </w:rPr>
              <w:t xml:space="preserve"> </w:t>
            </w:r>
          </w:p>
          <w:p w14:paraId="132ED5A7" w14:textId="1EC8C79C" w:rsidR="007F06F6" w:rsidRPr="00076E63" w:rsidRDefault="007F06F6" w:rsidP="00417E29">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Pr="00076E63">
              <w:rPr>
                <w:rFonts w:ascii="Times New Roman" w:eastAsia="Times New Roman" w:hAnsi="Times New Roman" w:cs="Times New Roman"/>
                <w:i/>
                <w:sz w:val="16"/>
                <w:szCs w:val="16"/>
                <w:lang w:val="bg-BG"/>
              </w:rPr>
              <w:t>риложете необходимата допъ</w:t>
            </w:r>
            <w:r>
              <w:rPr>
                <w:rFonts w:ascii="Times New Roman" w:eastAsia="Times New Roman" w:hAnsi="Times New Roman" w:cs="Times New Roman"/>
                <w:i/>
                <w:sz w:val="16"/>
                <w:szCs w:val="16"/>
                <w:lang w:val="bg-BG"/>
              </w:rPr>
              <w:t>лнителна информация и документи.</w:t>
            </w:r>
          </w:p>
        </w:tc>
      </w:tr>
      <w:tr w:rsidR="007F06F6" w:rsidRPr="003C124D" w14:paraId="1549F574" w14:textId="77777777" w:rsidTr="00C93DF1">
        <w:tc>
          <w:tcPr>
            <w:tcW w:w="10266" w:type="dxa"/>
            <w:gridSpan w:val="3"/>
          </w:tcPr>
          <w:p w14:paraId="2B262C30" w14:textId="3E1D7978" w:rsidR="00417E29" w:rsidRDefault="007F06F6" w:rsidP="001F6AA0">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Информационни източници:</w:t>
            </w:r>
          </w:p>
          <w:p w14:paraId="7279E69B" w14:textId="5C003ADF" w:rsidR="00417E29" w:rsidRDefault="00417E29" w:rsidP="00417E29">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sz w:val="24"/>
                <w:szCs w:val="24"/>
                <w:lang w:val="bg-BG"/>
              </w:rPr>
              <w:t>Срещи с браншови организации и представяне на техните членове;</w:t>
            </w:r>
          </w:p>
          <w:p w14:paraId="0FDF5535" w14:textId="71682A18" w:rsidR="001F6AA0" w:rsidRDefault="001F6AA0" w:rsidP="00417E29">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Доклад на министър Юлиян Попов;</w:t>
            </w:r>
          </w:p>
          <w:p w14:paraId="4423BEF9" w14:textId="6C785ECE" w:rsidR="001F6AA0" w:rsidRDefault="00C86772" w:rsidP="00417E29">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Информация от </w:t>
            </w:r>
            <w:r>
              <w:rPr>
                <w:rFonts w:ascii="Times New Roman" w:eastAsia="Times New Roman" w:hAnsi="Times New Roman" w:cs="Times New Roman"/>
                <w:sz w:val="24"/>
                <w:szCs w:val="24"/>
              </w:rPr>
              <w:t xml:space="preserve">APPLIA </w:t>
            </w:r>
            <w:r>
              <w:rPr>
                <w:rFonts w:ascii="Times New Roman" w:eastAsia="Times New Roman" w:hAnsi="Times New Roman" w:cs="Times New Roman"/>
                <w:sz w:val="24"/>
                <w:szCs w:val="24"/>
                <w:lang w:val="bg-BG"/>
              </w:rPr>
              <w:t>България;</w:t>
            </w:r>
          </w:p>
          <w:p w14:paraId="4990B8DA" w14:textId="78691234" w:rsidR="00417E29" w:rsidRPr="00417E29" w:rsidRDefault="00417E29" w:rsidP="00417E29">
            <w:pPr>
              <w:pStyle w:val="ListParagraph"/>
              <w:numPr>
                <w:ilvl w:val="0"/>
                <w:numId w:val="16"/>
              </w:numPr>
              <w:tabs>
                <w:tab w:val="left" w:pos="158"/>
                <w:tab w:val="left" w:pos="300"/>
                <w:tab w:val="left" w:pos="432"/>
              </w:tabs>
              <w:spacing w:after="0" w:line="240" w:lineRule="auto"/>
              <w:ind w:left="0" w:firstLine="574"/>
              <w:jc w:val="both"/>
              <w:rPr>
                <w:rFonts w:ascii="Times New Roman" w:eastAsia="Times New Roman" w:hAnsi="Times New Roman" w:cs="Times New Roman"/>
                <w:sz w:val="24"/>
                <w:szCs w:val="24"/>
                <w:lang w:val="bg-BG"/>
              </w:rPr>
            </w:pPr>
            <w:r w:rsidRPr="00417E29">
              <w:rPr>
                <w:rFonts w:ascii="Times New Roman" w:eastAsia="Times New Roman" w:hAnsi="Times New Roman" w:cs="Times New Roman"/>
                <w:sz w:val="24"/>
                <w:szCs w:val="24"/>
                <w:lang w:val="bg-BG"/>
              </w:rPr>
              <w:t xml:space="preserve">Информационни материали от </w:t>
            </w:r>
            <w:r w:rsidR="00C86772">
              <w:rPr>
                <w:rFonts w:ascii="Times New Roman" w:eastAsia="Times New Roman" w:hAnsi="Times New Roman" w:cs="Times New Roman"/>
                <w:sz w:val="24"/>
                <w:szCs w:val="24"/>
                <w:lang w:val="bg-BG"/>
              </w:rPr>
              <w:t>Галина Въчева съветник на министър Юлиян Попов</w:t>
            </w:r>
            <w:r w:rsidRPr="00417E29">
              <w:rPr>
                <w:rFonts w:ascii="Times New Roman" w:eastAsia="Times New Roman" w:hAnsi="Times New Roman" w:cs="Times New Roman"/>
                <w:sz w:val="24"/>
                <w:szCs w:val="24"/>
                <w:lang w:val="bg-BG"/>
              </w:rPr>
              <w:t>;</w:t>
            </w:r>
          </w:p>
          <w:p w14:paraId="10E75238" w14:textId="1DD8555F" w:rsidR="007F06F6" w:rsidRPr="00076E63" w:rsidRDefault="007F06F6" w:rsidP="007F06F6">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Pr="00076E63">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Pr>
                <w:rFonts w:ascii="Times New Roman" w:eastAsia="Times New Roman" w:hAnsi="Times New Roman" w:cs="Times New Roman"/>
                <w:i/>
                <w:sz w:val="16"/>
                <w:szCs w:val="16"/>
                <w:lang w:val="bg-BG"/>
              </w:rPr>
              <w:t xml:space="preserve">които са </w:t>
            </w:r>
            <w:r w:rsidRPr="00076E63">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на вариант за действие: регистри, бази да</w:t>
            </w:r>
            <w:r>
              <w:rPr>
                <w:rFonts w:ascii="Times New Roman" w:eastAsia="Times New Roman" w:hAnsi="Times New Roman" w:cs="Times New Roman"/>
                <w:i/>
                <w:sz w:val="16"/>
                <w:szCs w:val="16"/>
                <w:lang w:val="bg-BG"/>
              </w:rPr>
              <w:t>нни, аналитични материали и др.</w:t>
            </w:r>
          </w:p>
        </w:tc>
      </w:tr>
      <w:tr w:rsidR="007F06F6" w:rsidRPr="003C124D" w14:paraId="42BA7B7C" w14:textId="77777777" w:rsidTr="00C93DF1">
        <w:tc>
          <w:tcPr>
            <w:tcW w:w="10266" w:type="dxa"/>
            <w:gridSpan w:val="3"/>
          </w:tcPr>
          <w:p w14:paraId="515A2514" w14:textId="77777777" w:rsidR="007F06F6" w:rsidRPr="00076E63" w:rsidRDefault="007F06F6" w:rsidP="007F06F6">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0A4D441D" w14:textId="77777777" w:rsidR="007F06F6" w:rsidRPr="00076E63" w:rsidRDefault="007F06F6" w:rsidP="007F06F6">
            <w:pPr>
              <w:spacing w:after="0" w:line="240" w:lineRule="auto"/>
              <w:rPr>
                <w:rFonts w:ascii="Times New Roman" w:eastAsia="Times New Roman" w:hAnsi="Times New Roman" w:cs="Times New Roman"/>
                <w:b/>
                <w:sz w:val="24"/>
                <w:szCs w:val="24"/>
                <w:lang w:val="bg-BG"/>
              </w:rPr>
            </w:pPr>
          </w:p>
          <w:p w14:paraId="513AC9D3" w14:textId="1E9ED287" w:rsidR="007F06F6" w:rsidRPr="00076E63" w:rsidRDefault="007F06F6" w:rsidP="007F06F6">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Име и длъжност:   </w:t>
            </w:r>
          </w:p>
          <w:p w14:paraId="233ADD72" w14:textId="77777777" w:rsidR="00940443" w:rsidRDefault="00940443" w:rsidP="00AD5608">
            <w:pPr>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Светлана Тронкова-Божкова</w:t>
            </w:r>
          </w:p>
          <w:p w14:paraId="1D6CCB25" w14:textId="157E2414" w:rsidR="00AD5608" w:rsidRDefault="00AD5608" w:rsidP="00AD5608">
            <w:pPr>
              <w:spacing w:before="120" w:after="120" w:line="240" w:lineRule="auto"/>
              <w:rPr>
                <w:rFonts w:ascii="Times New Roman" w:eastAsia="Times New Roman" w:hAnsi="Times New Roman" w:cs="Times New Roman"/>
                <w:b/>
                <w:sz w:val="24"/>
                <w:szCs w:val="24"/>
                <w:lang w:val="bg-BG"/>
              </w:rPr>
            </w:pPr>
            <w:r w:rsidRPr="00AD5608">
              <w:rPr>
                <w:rFonts w:ascii="Times New Roman" w:eastAsia="Times New Roman" w:hAnsi="Times New Roman" w:cs="Times New Roman"/>
                <w:b/>
                <w:sz w:val="24"/>
                <w:szCs w:val="24"/>
                <w:lang w:val="bg-BG"/>
              </w:rPr>
              <w:t>И.Д. Директор на дирекция УООП</w:t>
            </w:r>
          </w:p>
          <w:p w14:paraId="492EF1A6" w14:textId="0C3BA636" w:rsidR="00AD5608" w:rsidRDefault="00AD5608" w:rsidP="00AD5608">
            <w:pPr>
              <w:spacing w:before="120" w:after="120" w:line="240" w:lineRule="auto"/>
              <w:rPr>
                <w:rFonts w:ascii="Times New Roman" w:eastAsia="Times New Roman" w:hAnsi="Times New Roman" w:cs="Times New Roman"/>
                <w:b/>
                <w:sz w:val="24"/>
                <w:szCs w:val="24"/>
                <w:lang w:val="bg-BG"/>
              </w:rPr>
            </w:pPr>
          </w:p>
          <w:p w14:paraId="67641066" w14:textId="2D2101C3" w:rsidR="00AD5608" w:rsidRDefault="00A17E32" w:rsidP="00AD5608">
            <w:pPr>
              <w:spacing w:before="120" w:after="12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pict w14:anchorId="664D6CE8">
                <v:shape id="_x0000_i1059" type="#_x0000_t75" alt="Microsoft Office Signature Line..." style="width:192pt;height:96pt">
                  <v:imagedata r:id="rId36" o:title=""/>
                  <o:lock v:ext="edit" ungrouping="t" rotation="t" cropping="t" verticies="t" text="t" grouping="t"/>
                  <o:signatureline v:ext="edit" id="{CA171E61-232A-4D63-9207-2C7140EAFC10}" provid="{00000000-0000-0000-0000-000000000000}" o:suggestedsigner="Светлана Тронкова-Божкова" o:suggestedsigner2="и.д. Директор на Дирекция УООП" issignatureline="t"/>
                </v:shape>
              </w:pict>
            </w:r>
          </w:p>
          <w:p w14:paraId="2BBB07B3" w14:textId="77777777" w:rsidR="00AD5608" w:rsidRPr="00AD5608" w:rsidRDefault="00AD5608" w:rsidP="00AD5608">
            <w:pPr>
              <w:spacing w:before="120" w:after="120" w:line="240" w:lineRule="auto"/>
              <w:rPr>
                <w:rFonts w:ascii="Times New Roman" w:eastAsia="Times New Roman" w:hAnsi="Times New Roman" w:cs="Times New Roman"/>
                <w:b/>
                <w:sz w:val="24"/>
                <w:szCs w:val="24"/>
                <w:lang w:val="bg-BG"/>
              </w:rPr>
            </w:pPr>
          </w:p>
          <w:p w14:paraId="68DB5E38" w14:textId="77777777" w:rsidR="007F06F6" w:rsidRPr="00076E63" w:rsidRDefault="007F06F6" w:rsidP="007F06F6">
            <w:pPr>
              <w:spacing w:before="120" w:after="120" w:line="240" w:lineRule="auto"/>
              <w:rPr>
                <w:rFonts w:ascii="Times New Roman" w:eastAsia="Times New Roman" w:hAnsi="Times New Roman" w:cs="Times New Roman"/>
                <w:b/>
                <w:sz w:val="24"/>
                <w:szCs w:val="24"/>
                <w:lang w:val="bg-BG"/>
              </w:rPr>
            </w:pPr>
          </w:p>
        </w:tc>
      </w:tr>
    </w:tbl>
    <w:p w14:paraId="3519F3E8" w14:textId="77777777" w:rsidR="00E16D01"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Sect="00DB7C6F">
      <w:headerReference w:type="even" r:id="rId37"/>
      <w:footerReference w:type="default" r:id="rId38"/>
      <w:pgSz w:w="11906" w:h="16838" w:code="9"/>
      <w:pgMar w:top="851" w:right="1463" w:bottom="1135"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EF42" w14:textId="77777777" w:rsidR="00144B17" w:rsidRDefault="00144B17">
      <w:pPr>
        <w:spacing w:after="0" w:line="240" w:lineRule="auto"/>
      </w:pPr>
      <w:r>
        <w:separator/>
      </w:r>
    </w:p>
  </w:endnote>
  <w:endnote w:type="continuationSeparator" w:id="0">
    <w:p w14:paraId="3C8E3FB3" w14:textId="77777777" w:rsidR="00144B17" w:rsidRDefault="0014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C7CD" w14:textId="4D0030CB" w:rsidR="00144B17" w:rsidRPr="003E3642" w:rsidRDefault="00144B17">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2652B7">
      <w:rPr>
        <w:rFonts w:ascii="Times New Roman" w:hAnsi="Times New Roman"/>
        <w:noProof/>
      </w:rPr>
      <w:t>11</w:t>
    </w:r>
    <w:r w:rsidRPr="003E3642">
      <w:rPr>
        <w:rFonts w:ascii="Times New Roman" w:hAnsi="Times New Roman"/>
        <w:noProof/>
      </w:rPr>
      <w:fldChar w:fldCharType="end"/>
    </w:r>
  </w:p>
  <w:p w14:paraId="6FACEA6C" w14:textId="77777777" w:rsidR="00144B17" w:rsidRDefault="00144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4F7A3" w14:textId="77777777" w:rsidR="00144B17" w:rsidRDefault="00144B17">
      <w:pPr>
        <w:spacing w:after="0" w:line="240" w:lineRule="auto"/>
      </w:pPr>
      <w:r>
        <w:separator/>
      </w:r>
    </w:p>
  </w:footnote>
  <w:footnote w:type="continuationSeparator" w:id="0">
    <w:p w14:paraId="5253106A" w14:textId="77777777" w:rsidR="00144B17" w:rsidRDefault="00144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289" w14:textId="77777777" w:rsidR="00144B17" w:rsidRDefault="00144B17"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144B17" w:rsidRDefault="00144B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3C6"/>
    <w:multiLevelType w:val="hybridMultilevel"/>
    <w:tmpl w:val="EC785C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3" w15:restartNumberingAfterBreak="0">
    <w:nsid w:val="283F3243"/>
    <w:multiLevelType w:val="hybridMultilevel"/>
    <w:tmpl w:val="2ED27416"/>
    <w:lvl w:ilvl="0" w:tplc="6948755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8B13EA5"/>
    <w:multiLevelType w:val="hybridMultilevel"/>
    <w:tmpl w:val="217CFB78"/>
    <w:lvl w:ilvl="0" w:tplc="308A7026">
      <w:start w:val="1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10E167F"/>
    <w:multiLevelType w:val="hybridMultilevel"/>
    <w:tmpl w:val="72EC244E"/>
    <w:lvl w:ilvl="0" w:tplc="308A7026">
      <w:start w:val="1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31B3E32"/>
    <w:multiLevelType w:val="hybridMultilevel"/>
    <w:tmpl w:val="E4E81C86"/>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7"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9" w15:restartNumberingAfterBreak="0">
    <w:nsid w:val="3F167ADF"/>
    <w:multiLevelType w:val="multilevel"/>
    <w:tmpl w:val="2F50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1"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2" w15:restartNumberingAfterBreak="0">
    <w:nsid w:val="473F79A8"/>
    <w:multiLevelType w:val="multilevel"/>
    <w:tmpl w:val="FE884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262AF"/>
    <w:multiLevelType w:val="hybridMultilevel"/>
    <w:tmpl w:val="F1BE9468"/>
    <w:lvl w:ilvl="0" w:tplc="04020001">
      <w:start w:val="1"/>
      <w:numFmt w:val="bullet"/>
      <w:lvlText w:val=""/>
      <w:lvlJc w:val="left"/>
      <w:pPr>
        <w:ind w:left="1020" w:hanging="360"/>
      </w:pPr>
      <w:rPr>
        <w:rFonts w:ascii="Symbol" w:hAnsi="Symbol" w:hint="default"/>
      </w:rPr>
    </w:lvl>
    <w:lvl w:ilvl="1" w:tplc="04020003" w:tentative="1">
      <w:start w:val="1"/>
      <w:numFmt w:val="bullet"/>
      <w:lvlText w:val="o"/>
      <w:lvlJc w:val="left"/>
      <w:pPr>
        <w:ind w:left="1740" w:hanging="360"/>
      </w:pPr>
      <w:rPr>
        <w:rFonts w:ascii="Courier New" w:hAnsi="Courier New" w:cs="Courier New" w:hint="default"/>
      </w:rPr>
    </w:lvl>
    <w:lvl w:ilvl="2" w:tplc="04020001">
      <w:start w:val="1"/>
      <w:numFmt w:val="bullet"/>
      <w:lvlText w:val=""/>
      <w:lvlJc w:val="left"/>
      <w:pPr>
        <w:ind w:left="2460" w:hanging="360"/>
      </w:pPr>
      <w:rPr>
        <w:rFonts w:ascii="Symbol" w:hAnsi="Symbol" w:hint="default"/>
      </w:rPr>
    </w:lvl>
    <w:lvl w:ilvl="3" w:tplc="04020001" w:tentative="1">
      <w:start w:val="1"/>
      <w:numFmt w:val="bullet"/>
      <w:lvlText w:val=""/>
      <w:lvlJc w:val="left"/>
      <w:pPr>
        <w:ind w:left="3180" w:hanging="360"/>
      </w:pPr>
      <w:rPr>
        <w:rFonts w:ascii="Symbol" w:hAnsi="Symbol" w:hint="default"/>
      </w:rPr>
    </w:lvl>
    <w:lvl w:ilvl="4" w:tplc="04020003" w:tentative="1">
      <w:start w:val="1"/>
      <w:numFmt w:val="bullet"/>
      <w:lvlText w:val="o"/>
      <w:lvlJc w:val="left"/>
      <w:pPr>
        <w:ind w:left="3900" w:hanging="360"/>
      </w:pPr>
      <w:rPr>
        <w:rFonts w:ascii="Courier New" w:hAnsi="Courier New" w:cs="Courier New" w:hint="default"/>
      </w:rPr>
    </w:lvl>
    <w:lvl w:ilvl="5" w:tplc="04020005" w:tentative="1">
      <w:start w:val="1"/>
      <w:numFmt w:val="bullet"/>
      <w:lvlText w:val=""/>
      <w:lvlJc w:val="left"/>
      <w:pPr>
        <w:ind w:left="4620" w:hanging="360"/>
      </w:pPr>
      <w:rPr>
        <w:rFonts w:ascii="Wingdings" w:hAnsi="Wingdings" w:hint="default"/>
      </w:rPr>
    </w:lvl>
    <w:lvl w:ilvl="6" w:tplc="04020001" w:tentative="1">
      <w:start w:val="1"/>
      <w:numFmt w:val="bullet"/>
      <w:lvlText w:val=""/>
      <w:lvlJc w:val="left"/>
      <w:pPr>
        <w:ind w:left="5340" w:hanging="360"/>
      </w:pPr>
      <w:rPr>
        <w:rFonts w:ascii="Symbol" w:hAnsi="Symbol" w:hint="default"/>
      </w:rPr>
    </w:lvl>
    <w:lvl w:ilvl="7" w:tplc="04020003" w:tentative="1">
      <w:start w:val="1"/>
      <w:numFmt w:val="bullet"/>
      <w:lvlText w:val="o"/>
      <w:lvlJc w:val="left"/>
      <w:pPr>
        <w:ind w:left="6060" w:hanging="360"/>
      </w:pPr>
      <w:rPr>
        <w:rFonts w:ascii="Courier New" w:hAnsi="Courier New" w:cs="Courier New" w:hint="default"/>
      </w:rPr>
    </w:lvl>
    <w:lvl w:ilvl="8" w:tplc="04020005" w:tentative="1">
      <w:start w:val="1"/>
      <w:numFmt w:val="bullet"/>
      <w:lvlText w:val=""/>
      <w:lvlJc w:val="left"/>
      <w:pPr>
        <w:ind w:left="6780" w:hanging="360"/>
      </w:pPr>
      <w:rPr>
        <w:rFonts w:ascii="Wingdings" w:hAnsi="Wingdings" w:hint="default"/>
      </w:rPr>
    </w:lvl>
  </w:abstractNum>
  <w:abstractNum w:abstractNumId="14" w15:restartNumberingAfterBreak="0">
    <w:nsid w:val="4B971A50"/>
    <w:multiLevelType w:val="hybridMultilevel"/>
    <w:tmpl w:val="C28C0450"/>
    <w:lvl w:ilvl="0" w:tplc="B952F8A6">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2A725CD"/>
    <w:multiLevelType w:val="hybridMultilevel"/>
    <w:tmpl w:val="C61A5954"/>
    <w:lvl w:ilvl="0" w:tplc="308A7026">
      <w:start w:val="1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41081"/>
    <w:multiLevelType w:val="hybridMultilevel"/>
    <w:tmpl w:val="90F47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4706535"/>
    <w:multiLevelType w:val="hybridMultilevel"/>
    <w:tmpl w:val="F050B0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7643BBC"/>
    <w:multiLevelType w:val="multilevel"/>
    <w:tmpl w:val="A3406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21"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22" w15:restartNumberingAfterBreak="0">
    <w:nsid w:val="7DB43183"/>
    <w:multiLevelType w:val="multilevel"/>
    <w:tmpl w:val="3FC4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7461A"/>
    <w:multiLevelType w:val="hybridMultilevel"/>
    <w:tmpl w:val="377ACC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20"/>
  </w:num>
  <w:num w:numId="2">
    <w:abstractNumId w:val="21"/>
  </w:num>
  <w:num w:numId="3">
    <w:abstractNumId w:val="8"/>
  </w:num>
  <w:num w:numId="4">
    <w:abstractNumId w:val="11"/>
  </w:num>
  <w:num w:numId="5">
    <w:abstractNumId w:val="10"/>
  </w:num>
  <w:num w:numId="6">
    <w:abstractNumId w:val="1"/>
  </w:num>
  <w:num w:numId="7">
    <w:abstractNumId w:val="2"/>
  </w:num>
  <w:num w:numId="8">
    <w:abstractNumId w:val="16"/>
  </w:num>
  <w:num w:numId="9">
    <w:abstractNumId w:val="7"/>
  </w:num>
  <w:num w:numId="10">
    <w:abstractNumId w:val="23"/>
  </w:num>
  <w:num w:numId="11">
    <w:abstractNumId w:val="6"/>
  </w:num>
  <w:num w:numId="12">
    <w:abstractNumId w:val="0"/>
  </w:num>
  <w:num w:numId="13">
    <w:abstractNumId w:val="3"/>
  </w:num>
  <w:num w:numId="14">
    <w:abstractNumId w:val="18"/>
  </w:num>
  <w:num w:numId="15">
    <w:abstractNumId w:val="14"/>
  </w:num>
  <w:num w:numId="16">
    <w:abstractNumId w:val="17"/>
  </w:num>
  <w:num w:numId="17">
    <w:abstractNumId w:val="9"/>
  </w:num>
  <w:num w:numId="18">
    <w:abstractNumId w:val="12"/>
  </w:num>
  <w:num w:numId="19">
    <w:abstractNumId w:val="5"/>
  </w:num>
  <w:num w:numId="20">
    <w:abstractNumId w:val="19"/>
  </w:num>
  <w:num w:numId="21">
    <w:abstractNumId w:val="22"/>
  </w:num>
  <w:num w:numId="22">
    <w:abstractNumId w:val="15"/>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5CD1"/>
    <w:rsid w:val="000327E9"/>
    <w:rsid w:val="00042D08"/>
    <w:rsid w:val="00064387"/>
    <w:rsid w:val="00064CC7"/>
    <w:rsid w:val="00076E63"/>
    <w:rsid w:val="00095AE2"/>
    <w:rsid w:val="000A1BC7"/>
    <w:rsid w:val="000A2E06"/>
    <w:rsid w:val="000D4446"/>
    <w:rsid w:val="000F5DB5"/>
    <w:rsid w:val="0010007F"/>
    <w:rsid w:val="001138D1"/>
    <w:rsid w:val="0011536C"/>
    <w:rsid w:val="00144B17"/>
    <w:rsid w:val="00153946"/>
    <w:rsid w:val="0016306E"/>
    <w:rsid w:val="001B7711"/>
    <w:rsid w:val="001E44FB"/>
    <w:rsid w:val="001F6AA0"/>
    <w:rsid w:val="001F746D"/>
    <w:rsid w:val="002652B7"/>
    <w:rsid w:val="00291E82"/>
    <w:rsid w:val="002C5268"/>
    <w:rsid w:val="00303348"/>
    <w:rsid w:val="0034619C"/>
    <w:rsid w:val="00347FA3"/>
    <w:rsid w:val="003501A6"/>
    <w:rsid w:val="003669F8"/>
    <w:rsid w:val="00395FCD"/>
    <w:rsid w:val="003A024D"/>
    <w:rsid w:val="003A68EA"/>
    <w:rsid w:val="003C124D"/>
    <w:rsid w:val="003C5FAD"/>
    <w:rsid w:val="00417E29"/>
    <w:rsid w:val="00441F51"/>
    <w:rsid w:val="0047112F"/>
    <w:rsid w:val="00483DDA"/>
    <w:rsid w:val="004A5578"/>
    <w:rsid w:val="004C2774"/>
    <w:rsid w:val="004D53B5"/>
    <w:rsid w:val="004E4FD6"/>
    <w:rsid w:val="004F1C8E"/>
    <w:rsid w:val="00503482"/>
    <w:rsid w:val="00512211"/>
    <w:rsid w:val="005305F7"/>
    <w:rsid w:val="0053345D"/>
    <w:rsid w:val="0057305D"/>
    <w:rsid w:val="005C3A26"/>
    <w:rsid w:val="005C68B4"/>
    <w:rsid w:val="005E682A"/>
    <w:rsid w:val="005F57EC"/>
    <w:rsid w:val="005F7572"/>
    <w:rsid w:val="0060089B"/>
    <w:rsid w:val="00607D13"/>
    <w:rsid w:val="0061283C"/>
    <w:rsid w:val="006206A2"/>
    <w:rsid w:val="00657B10"/>
    <w:rsid w:val="00696CE7"/>
    <w:rsid w:val="006C5776"/>
    <w:rsid w:val="006D3E38"/>
    <w:rsid w:val="006D40DB"/>
    <w:rsid w:val="006D7984"/>
    <w:rsid w:val="006F0D85"/>
    <w:rsid w:val="006F7402"/>
    <w:rsid w:val="007108A0"/>
    <w:rsid w:val="0072531E"/>
    <w:rsid w:val="007342F6"/>
    <w:rsid w:val="0078311F"/>
    <w:rsid w:val="00793CF6"/>
    <w:rsid w:val="007A5971"/>
    <w:rsid w:val="007C298B"/>
    <w:rsid w:val="007D51DE"/>
    <w:rsid w:val="007D62B2"/>
    <w:rsid w:val="007F06F6"/>
    <w:rsid w:val="008067A3"/>
    <w:rsid w:val="00815AE6"/>
    <w:rsid w:val="00830F83"/>
    <w:rsid w:val="00842F23"/>
    <w:rsid w:val="00851E74"/>
    <w:rsid w:val="00900EFF"/>
    <w:rsid w:val="009079F0"/>
    <w:rsid w:val="0091630B"/>
    <w:rsid w:val="00917052"/>
    <w:rsid w:val="00917940"/>
    <w:rsid w:val="00940443"/>
    <w:rsid w:val="009546F1"/>
    <w:rsid w:val="009B13A5"/>
    <w:rsid w:val="009B6418"/>
    <w:rsid w:val="009D0055"/>
    <w:rsid w:val="009D4DA5"/>
    <w:rsid w:val="00A01F47"/>
    <w:rsid w:val="00A12026"/>
    <w:rsid w:val="00A17E32"/>
    <w:rsid w:val="00A20AF4"/>
    <w:rsid w:val="00A238B4"/>
    <w:rsid w:val="00A532E9"/>
    <w:rsid w:val="00A63465"/>
    <w:rsid w:val="00A658BE"/>
    <w:rsid w:val="00A92E32"/>
    <w:rsid w:val="00AA0C4F"/>
    <w:rsid w:val="00AC2A3C"/>
    <w:rsid w:val="00AC31CB"/>
    <w:rsid w:val="00AD5608"/>
    <w:rsid w:val="00AE6460"/>
    <w:rsid w:val="00AF34F8"/>
    <w:rsid w:val="00B132C1"/>
    <w:rsid w:val="00B20807"/>
    <w:rsid w:val="00B27B14"/>
    <w:rsid w:val="00B722F7"/>
    <w:rsid w:val="00B84911"/>
    <w:rsid w:val="00B86BD2"/>
    <w:rsid w:val="00B9090D"/>
    <w:rsid w:val="00B90AC2"/>
    <w:rsid w:val="00BA57AA"/>
    <w:rsid w:val="00BB1864"/>
    <w:rsid w:val="00BD54F1"/>
    <w:rsid w:val="00BD5AF2"/>
    <w:rsid w:val="00BF19A5"/>
    <w:rsid w:val="00BF7920"/>
    <w:rsid w:val="00C02F30"/>
    <w:rsid w:val="00C05484"/>
    <w:rsid w:val="00C14F4D"/>
    <w:rsid w:val="00C40BCF"/>
    <w:rsid w:val="00C40C9F"/>
    <w:rsid w:val="00C4225E"/>
    <w:rsid w:val="00C5260A"/>
    <w:rsid w:val="00C615B4"/>
    <w:rsid w:val="00C86772"/>
    <w:rsid w:val="00C93DF1"/>
    <w:rsid w:val="00D4642E"/>
    <w:rsid w:val="00D52B91"/>
    <w:rsid w:val="00D5609C"/>
    <w:rsid w:val="00D74A48"/>
    <w:rsid w:val="00D82CFD"/>
    <w:rsid w:val="00D83AFA"/>
    <w:rsid w:val="00D978EA"/>
    <w:rsid w:val="00DA5FF0"/>
    <w:rsid w:val="00DA6395"/>
    <w:rsid w:val="00DB5149"/>
    <w:rsid w:val="00DB7C6F"/>
    <w:rsid w:val="00DF0C26"/>
    <w:rsid w:val="00E12514"/>
    <w:rsid w:val="00E16D01"/>
    <w:rsid w:val="00E42F13"/>
    <w:rsid w:val="00E44DE0"/>
    <w:rsid w:val="00E63DC6"/>
    <w:rsid w:val="00E653D3"/>
    <w:rsid w:val="00E65509"/>
    <w:rsid w:val="00EB5464"/>
    <w:rsid w:val="00EB7DBD"/>
    <w:rsid w:val="00EF11B2"/>
    <w:rsid w:val="00F020AA"/>
    <w:rsid w:val="00F04B4E"/>
    <w:rsid w:val="00F16E3F"/>
    <w:rsid w:val="00F216DF"/>
    <w:rsid w:val="00F346DE"/>
    <w:rsid w:val="00F45F46"/>
    <w:rsid w:val="00F51681"/>
    <w:rsid w:val="00F62598"/>
    <w:rsid w:val="00F8508C"/>
    <w:rsid w:val="00F87F7B"/>
    <w:rsid w:val="00F97AFA"/>
    <w:rsid w:val="00FC3C66"/>
    <w:rsid w:val="00FC4097"/>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6DF"/>
    <w:rPr>
      <w:color w:val="0563C1" w:themeColor="hyperlink"/>
      <w:u w:val="single"/>
    </w:rPr>
  </w:style>
  <w:style w:type="paragraph" w:styleId="NormalWeb">
    <w:name w:val="Normal (Web)"/>
    <w:basedOn w:val="Normal"/>
    <w:uiPriority w:val="99"/>
    <w:semiHidden/>
    <w:unhideWhenUsed/>
    <w:rsid w:val="00E12514"/>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18106">
      <w:bodyDiv w:val="1"/>
      <w:marLeft w:val="0"/>
      <w:marRight w:val="0"/>
      <w:marTop w:val="0"/>
      <w:marBottom w:val="0"/>
      <w:divBdr>
        <w:top w:val="none" w:sz="0" w:space="0" w:color="auto"/>
        <w:left w:val="none" w:sz="0" w:space="0" w:color="auto"/>
        <w:bottom w:val="none" w:sz="0" w:space="0" w:color="auto"/>
        <w:right w:val="none" w:sz="0" w:space="0" w:color="auto"/>
      </w:divBdr>
    </w:div>
    <w:div w:id="485827166">
      <w:bodyDiv w:val="1"/>
      <w:marLeft w:val="0"/>
      <w:marRight w:val="0"/>
      <w:marTop w:val="0"/>
      <w:marBottom w:val="0"/>
      <w:divBdr>
        <w:top w:val="none" w:sz="0" w:space="0" w:color="auto"/>
        <w:left w:val="none" w:sz="0" w:space="0" w:color="auto"/>
        <w:bottom w:val="none" w:sz="0" w:space="0" w:color="auto"/>
        <w:right w:val="none" w:sz="0" w:space="0" w:color="auto"/>
      </w:divBdr>
    </w:div>
    <w:div w:id="763382052">
      <w:bodyDiv w:val="1"/>
      <w:marLeft w:val="0"/>
      <w:marRight w:val="0"/>
      <w:marTop w:val="0"/>
      <w:marBottom w:val="0"/>
      <w:divBdr>
        <w:top w:val="none" w:sz="0" w:space="0" w:color="auto"/>
        <w:left w:val="none" w:sz="0" w:space="0" w:color="auto"/>
        <w:bottom w:val="none" w:sz="0" w:space="0" w:color="auto"/>
        <w:right w:val="none" w:sz="0" w:space="0" w:color="auto"/>
      </w:divBdr>
    </w:div>
    <w:div w:id="770709595">
      <w:bodyDiv w:val="1"/>
      <w:marLeft w:val="0"/>
      <w:marRight w:val="0"/>
      <w:marTop w:val="0"/>
      <w:marBottom w:val="0"/>
      <w:divBdr>
        <w:top w:val="none" w:sz="0" w:space="0" w:color="auto"/>
        <w:left w:val="none" w:sz="0" w:space="0" w:color="auto"/>
        <w:bottom w:val="none" w:sz="0" w:space="0" w:color="auto"/>
        <w:right w:val="none" w:sz="0" w:space="0" w:color="auto"/>
      </w:divBdr>
    </w:div>
    <w:div w:id="1323971922">
      <w:bodyDiv w:val="1"/>
      <w:marLeft w:val="0"/>
      <w:marRight w:val="0"/>
      <w:marTop w:val="0"/>
      <w:marBottom w:val="0"/>
      <w:divBdr>
        <w:top w:val="none" w:sz="0" w:space="0" w:color="auto"/>
        <w:left w:val="none" w:sz="0" w:space="0" w:color="auto"/>
        <w:bottom w:val="none" w:sz="0" w:space="0" w:color="auto"/>
        <w:right w:val="none" w:sz="0" w:space="0" w:color="auto"/>
      </w:divBdr>
    </w:div>
    <w:div w:id="1440032555">
      <w:bodyDiv w:val="1"/>
      <w:marLeft w:val="0"/>
      <w:marRight w:val="0"/>
      <w:marTop w:val="0"/>
      <w:marBottom w:val="0"/>
      <w:divBdr>
        <w:top w:val="none" w:sz="0" w:space="0" w:color="auto"/>
        <w:left w:val="none" w:sz="0" w:space="0" w:color="auto"/>
        <w:bottom w:val="none" w:sz="0" w:space="0" w:color="auto"/>
        <w:right w:val="none" w:sz="0" w:space="0" w:color="auto"/>
      </w:divBdr>
    </w:div>
    <w:div w:id="16273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control" Target="activeX/activeX16.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ozhkova@moew.government.bg" TargetMode="External"/><Relationship Id="rId24" Type="http://schemas.openxmlformats.org/officeDocument/2006/relationships/image" Target="media/image8.wmf"/><Relationship Id="rId32" Type="http://schemas.openxmlformats.org/officeDocument/2006/relationships/control" Target="activeX/activeX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image" Target="media/image12.emf"/><Relationship Id="rId10" Type="http://schemas.openxmlformats.org/officeDocument/2006/relationships/control" Target="activeX/activeX2.xml"/><Relationship Id="rId19" Type="http://schemas.openxmlformats.org/officeDocument/2006/relationships/control" Target="activeX/activeX6.xml"/><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4145</Words>
  <Characters>23629</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Da se smeni</cp:lastModifiedBy>
  <cp:revision>2</cp:revision>
  <dcterms:created xsi:type="dcterms:W3CDTF">2026-04-15T10:50:00Z</dcterms:created>
  <dcterms:modified xsi:type="dcterms:W3CDTF">2026-04-15T10:50:00Z</dcterms:modified>
</cp:coreProperties>
</file>